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BC" w:rsidRDefault="00E725BC">
      <w:r>
        <w:t>SITUACIÓN DEL SALARIO DOCENTE EN LA GESTIÓN EDUCATIVA A DISTANCIA DESDE LA VIRTUALIDAD DURANTE LA PANDEMIA</w:t>
      </w:r>
    </w:p>
    <w:p w:rsidR="00E725BC" w:rsidRDefault="00E725BC">
      <w:r>
        <w:t>Yesenia Centeno de López</w:t>
      </w:r>
    </w:p>
    <w:p w:rsidR="00E725BC" w:rsidRDefault="00E725BC">
      <w:r>
        <w:t xml:space="preserve">Claudia </w:t>
      </w:r>
      <w:proofErr w:type="spellStart"/>
      <w:r>
        <w:t>Zuriaga</w:t>
      </w:r>
      <w:proofErr w:type="spellEnd"/>
      <w:r>
        <w:t xml:space="preserve"> Bravo</w:t>
      </w:r>
    </w:p>
    <w:p w:rsidR="00E725BC" w:rsidRDefault="00E725BC" w:rsidP="00E725BC">
      <w:pPr>
        <w:jc w:val="both"/>
        <w:rPr>
          <w:sz w:val="28"/>
        </w:rPr>
      </w:pPr>
      <w:r>
        <w:t xml:space="preserve">RESUMEN El objetivo del estudio fue conocer la situación del salario docente en la gestión educativa a distancia a través de la virtualidad durante la pandemia entre 2020-2021. Se utilizó metodología mixta, se llevó a cabo: primera etapa, diseño, las fases documentación, selección de informante y planeación. Segunda etapa, operativa, primera fase, cualitativa de campo, segunda fase cuantitativa documental, tercera fase, análisis e interpretación de la información. Caso: docente de educación universitaria contexto geográfico Venezuela; categorías resultantes: capacitación en entornos virtuales de aprendizaje y, sueldo docente; las variables estudiadas: hora/hombre del docente en la gestión de la educación a distancia y consumo de datos de internet en la labor docente virtual. Los resultados, necesidad de capacitación en entornos virtuales de aprendizaje, sueldo dentro de los parámetros de pobreza, sobrecarga laboral, la pandemia generó aumento del uso horas/hombre para la ejecución del puesto de trabajo e incremento mayor al 100% en el gasto en el servicio de internet. Se concluye, Venezuela agudiza las dificultades de la gestión educativa a distancia, sueldo vulnerable por costo elevado del internet y, sin poder adquisitivo para tener acceso a equipos tecnológicos para la profesión desde la virtualidad. Palabras Clave: </w:t>
      </w:r>
      <w:r w:rsidRPr="00E725BC">
        <w:rPr>
          <w:sz w:val="28"/>
        </w:rPr>
        <w:t>Docente, Educación, Salario, Virtual, Venezuela</w:t>
      </w:r>
    </w:p>
    <w:p w:rsidR="00D65641" w:rsidRDefault="00D65641" w:rsidP="00E725BC">
      <w:pPr>
        <w:jc w:val="both"/>
        <w:rPr>
          <w:sz w:val="28"/>
        </w:rPr>
      </w:pPr>
    </w:p>
    <w:p w:rsidR="00D65641" w:rsidRDefault="008B529B" w:rsidP="00E725BC">
      <w:pPr>
        <w:jc w:val="both"/>
      </w:pPr>
      <w:r>
        <w:t>AULAS VIRTUALES HUMANIZADAS. ¿QUÉ FALTÓ EN EDUCACIÓN A DISTANCIA EN TIEMPO DE PANDEMIA?</w:t>
      </w:r>
    </w:p>
    <w:p w:rsidR="008B529B" w:rsidRDefault="008B529B" w:rsidP="00E725BC">
      <w:pPr>
        <w:jc w:val="both"/>
      </w:pPr>
      <w:r>
        <w:t>Maite Marrero</w:t>
      </w:r>
    </w:p>
    <w:p w:rsidR="008B529B" w:rsidRDefault="008B529B" w:rsidP="00E725BC">
      <w:pPr>
        <w:jc w:val="both"/>
      </w:pPr>
      <w:r>
        <w:t>Ingrid Camacho</w:t>
      </w:r>
    </w:p>
    <w:p w:rsidR="008B529B" w:rsidRDefault="008B529B" w:rsidP="00E725BC">
      <w:pPr>
        <w:jc w:val="both"/>
      </w:pPr>
      <w:r>
        <w:t xml:space="preserve">RESUMEN En educación los efectos de la pandemia aún están y han dejado evidencia de las desigualdades del derecho a la Educación en todo el mundo. El propósito de este estudio es indagar las experiencias virtuales educativas en el período de cuarentena y contrastar las experiencias de los docentes en contraposición de la opinión de expertos. Para ello se presentó un recorrido documental que inicia con la educación en tiempos de crisis con los aportes de Haro (2020), la educación a distancia y la Humanización digital. Para dar fiabilidad a los resultados del estudio, se estableció el recorrido metodológico enmarcado en el paradigma </w:t>
      </w:r>
      <w:proofErr w:type="spellStart"/>
      <w:r>
        <w:t>postpositivista</w:t>
      </w:r>
      <w:proofErr w:type="spellEnd"/>
      <w:r>
        <w:t xml:space="preserve">. Conllevando a observar un fenómeno mundial a través de sus actores sobre las experiencias docentes en entornos de aprendizajes virtuales. De acuerdo a dichas interpretaciones se tomó como método el Fenomenológico hermenéutico. El escenario para la recolección de la información fue la institución educativa Colegio La Concepción de Maracay, en el que se emplearon informantes clave para los hallazgos de investigación. Entre las conclusiones más importantes </w:t>
      </w:r>
      <w:r>
        <w:lastRenderedPageBreak/>
        <w:t xml:space="preserve">figuran la necesidad de Reeducar a todos los entes involucrados en el proceso y el apropiarse de las herramientas tecnológicas como apoyo en la praxis educativa. Palabras Clave: HUMANIZACIÓN DIGITAL – EDUCACIÓN A DISTANCIA </w:t>
      </w:r>
      <w:r w:rsidR="00C814CF">
        <w:t>–</w:t>
      </w:r>
      <w:r>
        <w:t xml:space="preserve"> PANDEMIA</w:t>
      </w:r>
    </w:p>
    <w:p w:rsidR="00C814CF" w:rsidRDefault="00C814CF" w:rsidP="00E725BC">
      <w:pPr>
        <w:jc w:val="both"/>
      </w:pPr>
    </w:p>
    <w:p w:rsidR="00C814CF" w:rsidRDefault="00C814CF" w:rsidP="00E725BC">
      <w:pPr>
        <w:jc w:val="both"/>
      </w:pPr>
      <w:r>
        <w:t xml:space="preserve">Biocombustibles y su rol como fuente de energía </w:t>
      </w:r>
    </w:p>
    <w:p w:rsidR="00C814CF" w:rsidRDefault="00C814CF" w:rsidP="00E725BC">
      <w:pPr>
        <w:jc w:val="both"/>
      </w:pPr>
      <w:r>
        <w:t>Beatriz Soledad y Gloria María Aponte</w:t>
      </w:r>
    </w:p>
    <w:p w:rsidR="00C814CF" w:rsidRDefault="00C814CF" w:rsidP="00E725BC">
      <w:pPr>
        <w:jc w:val="both"/>
      </w:pPr>
      <w:r>
        <w:t xml:space="preserve">RESUMEN Este trabajo tiene como objetivo analizar la situación actual de los biocombustibles como fuente de energía. Para ello se utilizaron las principales fuentes especializadas que publican información en el área y se usaron las técnicas de revisión bibliográfica, análisis de contenido y análisis </w:t>
      </w:r>
      <w:proofErr w:type="spellStart"/>
      <w:r>
        <w:t>bibliométrico</w:t>
      </w:r>
      <w:proofErr w:type="spellEnd"/>
      <w:r>
        <w:t xml:space="preserve"> para procesar, analizar y obtener las principales tendencias de las publicaciones y de las solicitudes de patentes publicadas a nivel mundial en el periodo 2001-2021.Los principales resultados indican que las tecnologías para producir los biocombustibles se centran en optimizar las tecnologías en el uso y procesamiento de los desechos y residuos. Las publicaciones científicas y los desarrollos tecnológicos en el área de los biocombustibles presentan una tendencia creciente y los países con mayor cantidad de publicaciones y solicitudes de patentes en el área son China y Estados Unidos. Por otra parte, el uso de los biocombustibles como fuente de energía sostenible aún tiene un alto nivel de incertidumbre ya que la comunidad científica no tiene claro, aún, los posibles efectos ambientales a largo plazo que pudieran tener los biocombustibles.</w:t>
      </w:r>
    </w:p>
    <w:p w:rsidR="00C814CF" w:rsidRDefault="00C814CF" w:rsidP="00E725BC">
      <w:pPr>
        <w:jc w:val="both"/>
      </w:pPr>
      <w:r>
        <w:t xml:space="preserve"> Palabras clave: Biocombustibles, Energía, Mercado, Tendencias.</w:t>
      </w:r>
    </w:p>
    <w:p w:rsidR="00662B15" w:rsidRDefault="00662B15" w:rsidP="00E725BC">
      <w:pPr>
        <w:jc w:val="both"/>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A8360E" w:rsidRDefault="00A8360E" w:rsidP="00E725BC">
      <w:pPr>
        <w:jc w:val="both"/>
        <w:rPr>
          <w:rFonts w:ascii="Arial" w:hAnsi="Arial" w:cs="Arial"/>
          <w:sz w:val="24"/>
          <w:szCs w:val="24"/>
        </w:rPr>
      </w:pPr>
    </w:p>
    <w:p w:rsidR="00662B15" w:rsidRPr="00A8360E" w:rsidRDefault="00053E80" w:rsidP="00E725BC">
      <w:pPr>
        <w:jc w:val="both"/>
        <w:rPr>
          <w:rFonts w:ascii="Arial" w:hAnsi="Arial" w:cs="Arial"/>
          <w:sz w:val="24"/>
          <w:szCs w:val="24"/>
        </w:rPr>
      </w:pPr>
      <w:r w:rsidRPr="00A8360E">
        <w:rPr>
          <w:rFonts w:ascii="Arial" w:hAnsi="Arial" w:cs="Arial"/>
          <w:sz w:val="24"/>
          <w:szCs w:val="24"/>
        </w:rPr>
        <w:lastRenderedPageBreak/>
        <w:t>Tesis Doctoral</w:t>
      </w:r>
    </w:p>
    <w:p w:rsidR="00053E80" w:rsidRPr="00A8360E" w:rsidRDefault="00053E80" w:rsidP="00053E80">
      <w:pPr>
        <w:autoSpaceDE w:val="0"/>
        <w:autoSpaceDN w:val="0"/>
        <w:adjustRightInd w:val="0"/>
        <w:spacing w:after="0" w:line="240" w:lineRule="auto"/>
        <w:rPr>
          <w:rFonts w:ascii="Arial" w:hAnsi="Arial" w:cs="Arial"/>
          <w:sz w:val="24"/>
          <w:szCs w:val="24"/>
        </w:rPr>
      </w:pPr>
      <w:r w:rsidRPr="00A8360E">
        <w:rPr>
          <w:rFonts w:ascii="Arial" w:hAnsi="Arial" w:cs="Arial"/>
          <w:sz w:val="24"/>
          <w:szCs w:val="24"/>
        </w:rPr>
        <w:t>Dinámica de la distribución y movimiento de las larvas de</w:t>
      </w:r>
    </w:p>
    <w:p w:rsidR="00053E80" w:rsidRPr="00A8360E" w:rsidRDefault="00053E80" w:rsidP="00053E80">
      <w:pPr>
        <w:autoSpaceDE w:val="0"/>
        <w:autoSpaceDN w:val="0"/>
        <w:adjustRightInd w:val="0"/>
        <w:spacing w:after="0" w:line="240" w:lineRule="auto"/>
        <w:rPr>
          <w:rFonts w:ascii="Arial" w:hAnsi="Arial" w:cs="Arial"/>
          <w:sz w:val="24"/>
          <w:szCs w:val="24"/>
        </w:rPr>
      </w:pPr>
      <w:proofErr w:type="spellStart"/>
      <w:proofErr w:type="gramStart"/>
      <w:r w:rsidRPr="00A8360E">
        <w:rPr>
          <w:rFonts w:ascii="Arial" w:hAnsi="Arial" w:cs="Arial"/>
          <w:sz w:val="24"/>
          <w:szCs w:val="24"/>
        </w:rPr>
        <w:t>peneidos</w:t>
      </w:r>
      <w:proofErr w:type="spellEnd"/>
      <w:proofErr w:type="gramEnd"/>
      <w:r w:rsidRPr="00A8360E">
        <w:rPr>
          <w:rFonts w:ascii="Arial" w:hAnsi="Arial" w:cs="Arial"/>
          <w:sz w:val="24"/>
          <w:szCs w:val="24"/>
        </w:rPr>
        <w:t xml:space="preserve"> y </w:t>
      </w:r>
      <w:proofErr w:type="spellStart"/>
      <w:r w:rsidRPr="00A8360E">
        <w:rPr>
          <w:rFonts w:ascii="Arial" w:hAnsi="Arial" w:cs="Arial"/>
          <w:i/>
          <w:iCs/>
          <w:sz w:val="24"/>
          <w:szCs w:val="24"/>
        </w:rPr>
        <w:t>Callinectes</w:t>
      </w:r>
      <w:proofErr w:type="spellEnd"/>
      <w:r w:rsidRPr="00A8360E">
        <w:rPr>
          <w:rFonts w:ascii="Arial" w:hAnsi="Arial" w:cs="Arial"/>
          <w:i/>
          <w:iCs/>
          <w:sz w:val="24"/>
          <w:szCs w:val="24"/>
        </w:rPr>
        <w:t xml:space="preserve"> </w:t>
      </w:r>
      <w:r w:rsidRPr="00A8360E">
        <w:rPr>
          <w:rFonts w:ascii="Arial" w:hAnsi="Arial" w:cs="Arial"/>
          <w:sz w:val="24"/>
          <w:szCs w:val="24"/>
        </w:rPr>
        <w:t>(CRUSTACEA: DECAPODA) en la</w:t>
      </w:r>
    </w:p>
    <w:p w:rsidR="00662B15" w:rsidRPr="00A8360E" w:rsidRDefault="00053E80" w:rsidP="00053E80">
      <w:pPr>
        <w:jc w:val="both"/>
        <w:rPr>
          <w:rFonts w:ascii="Arial" w:hAnsi="Arial" w:cs="Arial"/>
          <w:sz w:val="24"/>
          <w:szCs w:val="24"/>
        </w:rPr>
      </w:pPr>
      <w:proofErr w:type="gramStart"/>
      <w:r w:rsidRPr="00A8360E">
        <w:rPr>
          <w:rFonts w:ascii="Arial" w:hAnsi="Arial" w:cs="Arial"/>
          <w:sz w:val="24"/>
          <w:szCs w:val="24"/>
        </w:rPr>
        <w:t>laguna</w:t>
      </w:r>
      <w:proofErr w:type="gramEnd"/>
      <w:r w:rsidRPr="00A8360E">
        <w:rPr>
          <w:rFonts w:ascii="Arial" w:hAnsi="Arial" w:cs="Arial"/>
          <w:sz w:val="24"/>
          <w:szCs w:val="24"/>
        </w:rPr>
        <w:t xml:space="preserve"> de Tacarigua, Edo. Miranda</w:t>
      </w:r>
    </w:p>
    <w:p w:rsidR="00053E80" w:rsidRPr="00A8360E" w:rsidRDefault="00053E80" w:rsidP="00053E80">
      <w:pPr>
        <w:autoSpaceDE w:val="0"/>
        <w:autoSpaceDN w:val="0"/>
        <w:adjustRightInd w:val="0"/>
        <w:spacing w:after="0" w:line="240" w:lineRule="auto"/>
        <w:rPr>
          <w:rFonts w:ascii="Arial" w:hAnsi="Arial" w:cs="Arial"/>
          <w:b/>
          <w:bCs/>
          <w:sz w:val="24"/>
          <w:szCs w:val="24"/>
        </w:rPr>
      </w:pPr>
      <w:r w:rsidRPr="00A8360E">
        <w:rPr>
          <w:rFonts w:ascii="Arial" w:hAnsi="Arial" w:cs="Arial"/>
          <w:b/>
          <w:bCs/>
          <w:sz w:val="24"/>
          <w:szCs w:val="24"/>
        </w:rPr>
        <w:t>Autor: Mario E. Palacios Cáceres</w:t>
      </w:r>
    </w:p>
    <w:p w:rsidR="00662B15" w:rsidRPr="00A8360E" w:rsidRDefault="00053E80" w:rsidP="00053E80">
      <w:pPr>
        <w:jc w:val="both"/>
        <w:rPr>
          <w:rFonts w:ascii="Arial" w:hAnsi="Arial" w:cs="Arial"/>
          <w:sz w:val="24"/>
          <w:szCs w:val="24"/>
        </w:rPr>
      </w:pPr>
      <w:r w:rsidRPr="00A8360E">
        <w:rPr>
          <w:rFonts w:ascii="Arial" w:hAnsi="Arial" w:cs="Arial"/>
          <w:sz w:val="24"/>
          <w:szCs w:val="24"/>
        </w:rPr>
        <w:t xml:space="preserve">Tutor: Evelyn </w:t>
      </w:r>
      <w:proofErr w:type="spellStart"/>
      <w:r w:rsidRPr="00A8360E">
        <w:rPr>
          <w:rFonts w:ascii="Arial" w:hAnsi="Arial" w:cs="Arial"/>
          <w:sz w:val="24"/>
          <w:szCs w:val="24"/>
        </w:rPr>
        <w:t>Zoppi</w:t>
      </w:r>
      <w:proofErr w:type="spellEnd"/>
      <w:r w:rsidRPr="00A8360E">
        <w:rPr>
          <w:rFonts w:ascii="Arial" w:hAnsi="Arial" w:cs="Arial"/>
          <w:sz w:val="24"/>
          <w:szCs w:val="24"/>
        </w:rPr>
        <w:t xml:space="preserve"> de Roa</w:t>
      </w:r>
    </w:p>
    <w:p w:rsidR="00053E80" w:rsidRPr="00A8360E" w:rsidRDefault="00053E80" w:rsidP="00053E80">
      <w:pPr>
        <w:autoSpaceDE w:val="0"/>
        <w:autoSpaceDN w:val="0"/>
        <w:adjustRightInd w:val="0"/>
        <w:spacing w:after="0" w:line="240" w:lineRule="auto"/>
        <w:rPr>
          <w:rFonts w:ascii="Times New Roman" w:hAnsi="Times New Roman" w:cs="Times New Roman"/>
          <w:color w:val="000000"/>
          <w:sz w:val="24"/>
          <w:szCs w:val="24"/>
        </w:rPr>
      </w:pPr>
      <w:r w:rsidRPr="00A8360E">
        <w:rPr>
          <w:rFonts w:ascii="Times New Roman" w:hAnsi="Times New Roman" w:cs="Times New Roman"/>
          <w:color w:val="000000"/>
          <w:sz w:val="24"/>
          <w:szCs w:val="24"/>
        </w:rPr>
        <w:t>RESUMEN</w:t>
      </w:r>
    </w:p>
    <w:p w:rsidR="00053E80" w:rsidRPr="00A8360E" w:rsidRDefault="00053E80" w:rsidP="00A3057D">
      <w:pPr>
        <w:autoSpaceDE w:val="0"/>
        <w:autoSpaceDN w:val="0"/>
        <w:adjustRightInd w:val="0"/>
        <w:spacing w:after="0" w:line="240" w:lineRule="auto"/>
        <w:jc w:val="both"/>
        <w:rPr>
          <w:rFonts w:ascii="Times New Roman" w:hAnsi="Times New Roman" w:cs="Times New Roman"/>
          <w:color w:val="000000"/>
          <w:sz w:val="24"/>
          <w:szCs w:val="24"/>
        </w:rPr>
      </w:pPr>
      <w:r w:rsidRPr="00A8360E">
        <w:rPr>
          <w:rFonts w:ascii="Times New Roman" w:hAnsi="Times New Roman" w:cs="Times New Roman"/>
          <w:color w:val="000000"/>
          <w:sz w:val="24"/>
          <w:szCs w:val="24"/>
        </w:rPr>
        <w:t xml:space="preserve">La laguna costera de Tacarigua es una </w:t>
      </w:r>
      <w:proofErr w:type="gramStart"/>
      <w:r w:rsidRPr="00A8360E">
        <w:rPr>
          <w:rFonts w:ascii="Times New Roman" w:hAnsi="Times New Roman" w:cs="Times New Roman"/>
          <w:color w:val="000000"/>
          <w:sz w:val="24"/>
          <w:szCs w:val="24"/>
        </w:rPr>
        <w:t>de las más importantes</w:t>
      </w:r>
      <w:proofErr w:type="gramEnd"/>
      <w:r w:rsidRPr="00A8360E">
        <w:rPr>
          <w:rFonts w:ascii="Times New Roman" w:hAnsi="Times New Roman" w:cs="Times New Roman"/>
          <w:color w:val="000000"/>
          <w:sz w:val="24"/>
          <w:szCs w:val="24"/>
        </w:rPr>
        <w:t xml:space="preserve"> del Norte de América del Sur.</w:t>
      </w:r>
    </w:p>
    <w:p w:rsidR="00053E80" w:rsidRPr="00A8360E" w:rsidRDefault="00053E80" w:rsidP="00A3057D">
      <w:pPr>
        <w:autoSpaceDE w:val="0"/>
        <w:autoSpaceDN w:val="0"/>
        <w:adjustRightInd w:val="0"/>
        <w:spacing w:after="0" w:line="240" w:lineRule="auto"/>
        <w:jc w:val="both"/>
        <w:rPr>
          <w:rFonts w:ascii="Times New Roman" w:hAnsi="Times New Roman" w:cs="Times New Roman"/>
          <w:color w:val="000000"/>
          <w:sz w:val="24"/>
          <w:szCs w:val="24"/>
        </w:rPr>
      </w:pPr>
      <w:r w:rsidRPr="00A8360E">
        <w:rPr>
          <w:rFonts w:ascii="Times New Roman" w:hAnsi="Times New Roman" w:cs="Times New Roman"/>
          <w:color w:val="000000"/>
          <w:sz w:val="24"/>
          <w:szCs w:val="24"/>
        </w:rPr>
        <w:t>Se construyó un modelo de la dinámica de la distribución y movimiento de las poblaciones</w:t>
      </w:r>
    </w:p>
    <w:p w:rsidR="00053E80" w:rsidRPr="00A8360E" w:rsidRDefault="00053E80" w:rsidP="00A3057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8360E">
        <w:rPr>
          <w:rFonts w:ascii="Times New Roman" w:hAnsi="Times New Roman" w:cs="Times New Roman"/>
          <w:color w:val="000000"/>
          <w:sz w:val="24"/>
          <w:szCs w:val="24"/>
        </w:rPr>
        <w:t>alimentación</w:t>
      </w:r>
      <w:proofErr w:type="gramEnd"/>
      <w:r w:rsidRPr="00A8360E">
        <w:rPr>
          <w:rFonts w:ascii="Times New Roman" w:hAnsi="Times New Roman" w:cs="Times New Roman"/>
          <w:color w:val="000000"/>
          <w:sz w:val="24"/>
          <w:szCs w:val="24"/>
        </w:rPr>
        <w:t xml:space="preserve">, fisicoquímica del agua y </w:t>
      </w:r>
      <w:proofErr w:type="spellStart"/>
      <w:r w:rsidRPr="00A8360E">
        <w:rPr>
          <w:rFonts w:ascii="Times New Roman" w:hAnsi="Times New Roman" w:cs="Times New Roman"/>
          <w:color w:val="000000"/>
          <w:sz w:val="24"/>
          <w:szCs w:val="24"/>
        </w:rPr>
        <w:t>tif</w:t>
      </w:r>
      <w:proofErr w:type="spellEnd"/>
      <w:r w:rsidR="00A3057D">
        <w:rPr>
          <w:rFonts w:ascii="Times New Roman" w:hAnsi="Times New Roman" w:cs="Times New Roman"/>
          <w:color w:val="000000"/>
          <w:sz w:val="24"/>
          <w:szCs w:val="24"/>
        </w:rPr>
        <w:t xml:space="preserve"> </w:t>
      </w:r>
      <w:r w:rsidRPr="00A8360E">
        <w:rPr>
          <w:rFonts w:ascii="Times New Roman" w:hAnsi="Times New Roman" w:cs="Times New Roman"/>
          <w:i/>
          <w:iCs/>
          <w:color w:val="000000"/>
          <w:sz w:val="24"/>
          <w:szCs w:val="24"/>
        </w:rPr>
        <w:t>(</w:t>
      </w:r>
      <w:proofErr w:type="spellStart"/>
      <w:r w:rsidRPr="00A8360E">
        <w:rPr>
          <w:rFonts w:ascii="Times New Roman" w:hAnsi="Times New Roman" w:cs="Times New Roman"/>
          <w:i/>
          <w:iCs/>
          <w:color w:val="000000"/>
          <w:sz w:val="24"/>
          <w:szCs w:val="24"/>
        </w:rPr>
        <w:t>Farfantepenaeus</w:t>
      </w:r>
      <w:proofErr w:type="spellEnd"/>
      <w:r w:rsidRPr="00A8360E">
        <w:rPr>
          <w:rFonts w:ascii="Times New Roman" w:hAnsi="Times New Roman" w:cs="Times New Roman"/>
          <w:i/>
          <w:iCs/>
          <w:color w:val="000000"/>
          <w:sz w:val="24"/>
          <w:szCs w:val="24"/>
        </w:rPr>
        <w:t xml:space="preserve"> </w:t>
      </w:r>
      <w:proofErr w:type="spellStart"/>
      <w:r w:rsidRPr="00A8360E">
        <w:rPr>
          <w:rFonts w:ascii="Times New Roman" w:hAnsi="Times New Roman" w:cs="Times New Roman"/>
          <w:i/>
          <w:iCs/>
          <w:color w:val="000000"/>
          <w:sz w:val="24"/>
          <w:szCs w:val="24"/>
        </w:rPr>
        <w:t>a~tecus</w:t>
      </w:r>
      <w:proofErr w:type="spellEnd"/>
      <w:r w:rsidRPr="00A8360E">
        <w:rPr>
          <w:rFonts w:ascii="Times New Roman" w:hAnsi="Times New Roman" w:cs="Times New Roman"/>
          <w:i/>
          <w:iCs/>
          <w:color w:val="000000"/>
          <w:sz w:val="24"/>
          <w:szCs w:val="24"/>
        </w:rPr>
        <w:t xml:space="preserve">, F. </w:t>
      </w:r>
      <w:proofErr w:type="spellStart"/>
      <w:r w:rsidRPr="00A8360E">
        <w:rPr>
          <w:rFonts w:ascii="Times New Roman" w:hAnsi="Times New Roman" w:cs="Times New Roman"/>
          <w:i/>
          <w:iCs/>
          <w:color w:val="000000"/>
          <w:sz w:val="24"/>
          <w:szCs w:val="24"/>
        </w:rPr>
        <w:t>duorarum</w:t>
      </w:r>
      <w:proofErr w:type="spellEnd"/>
      <w:r w:rsidRPr="00A8360E">
        <w:rPr>
          <w:rFonts w:ascii="Times New Roman" w:hAnsi="Times New Roman" w:cs="Times New Roman"/>
          <w:i/>
          <w:iCs/>
          <w:color w:val="000000"/>
          <w:sz w:val="24"/>
          <w:szCs w:val="24"/>
        </w:rPr>
        <w:t xml:space="preserve"> y F. </w:t>
      </w:r>
      <w:proofErr w:type="spellStart"/>
      <w:r w:rsidRPr="00A8360E">
        <w:rPr>
          <w:rFonts w:ascii="Times New Roman" w:hAnsi="Times New Roman" w:cs="Times New Roman"/>
          <w:i/>
          <w:iCs/>
          <w:color w:val="000000"/>
          <w:sz w:val="24"/>
          <w:szCs w:val="24"/>
        </w:rPr>
        <w:t>brasiliensis</w:t>
      </w:r>
      <w:proofErr w:type="spellEnd"/>
      <w:r w:rsidRPr="00A8360E">
        <w:rPr>
          <w:rFonts w:ascii="Times New Roman" w:hAnsi="Times New Roman" w:cs="Times New Roman"/>
          <w:i/>
          <w:iCs/>
          <w:color w:val="000000"/>
          <w:sz w:val="24"/>
          <w:szCs w:val="24"/>
        </w:rPr>
        <w:t xml:space="preserve">). </w:t>
      </w:r>
      <w:r w:rsidRPr="00A8360E">
        <w:rPr>
          <w:rFonts w:ascii="Times New Roman" w:hAnsi="Times New Roman" w:cs="Times New Roman"/>
          <w:color w:val="000000"/>
          <w:sz w:val="24"/>
          <w:szCs w:val="24"/>
        </w:rPr>
        <w:t xml:space="preserve">Las </w:t>
      </w:r>
      <w:proofErr w:type="spellStart"/>
      <w:r w:rsidRPr="00A8360E">
        <w:rPr>
          <w:rFonts w:ascii="Times New Roman" w:hAnsi="Times New Roman" w:cs="Times New Roman"/>
          <w:color w:val="000000"/>
          <w:sz w:val="24"/>
          <w:szCs w:val="24"/>
        </w:rPr>
        <w:t>postlarvas</w:t>
      </w:r>
      <w:proofErr w:type="spellEnd"/>
      <w:r w:rsidRPr="00A8360E">
        <w:rPr>
          <w:rFonts w:ascii="Times New Roman" w:hAnsi="Times New Roman" w:cs="Times New Roman"/>
          <w:color w:val="000000"/>
          <w:sz w:val="24"/>
          <w:szCs w:val="24"/>
        </w:rPr>
        <w:t xml:space="preserve"> entran a la laguna</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desde su primer </w:t>
      </w:r>
      <w:proofErr w:type="spellStart"/>
      <w:r w:rsidRPr="00A8360E">
        <w:rPr>
          <w:rFonts w:ascii="Times New Roman" w:hAnsi="Times New Roman" w:cs="Times New Roman"/>
          <w:color w:val="000000"/>
          <w:sz w:val="24"/>
          <w:szCs w:val="24"/>
        </w:rPr>
        <w:t>subestadio</w:t>
      </w:r>
      <w:proofErr w:type="spellEnd"/>
      <w:r w:rsidRPr="00A8360E">
        <w:rPr>
          <w:rFonts w:ascii="Times New Roman" w:hAnsi="Times New Roman" w:cs="Times New Roman"/>
          <w:color w:val="000000"/>
          <w:sz w:val="24"/>
          <w:szCs w:val="24"/>
        </w:rPr>
        <w:t xml:space="preserve"> y ambos géneros se diferencian en talla (al principio y final del</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desarrollo), forma del cuerpo, velocidad de crecimiento y etapas de engorde. Las abundancias</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nocturnas fueron superiores solo en algunos </w:t>
      </w:r>
      <w:proofErr w:type="spellStart"/>
      <w:r w:rsidRPr="00A8360E">
        <w:rPr>
          <w:rFonts w:ascii="Times New Roman" w:hAnsi="Times New Roman" w:cs="Times New Roman"/>
          <w:color w:val="000000"/>
          <w:sz w:val="24"/>
          <w:szCs w:val="24"/>
        </w:rPr>
        <w:t>subestadios</w:t>
      </w:r>
      <w:proofErr w:type="spellEnd"/>
      <w:r w:rsidRPr="00A8360E">
        <w:rPr>
          <w:rFonts w:ascii="Times New Roman" w:hAnsi="Times New Roman" w:cs="Times New Roman"/>
          <w:color w:val="000000"/>
          <w:sz w:val="24"/>
          <w:szCs w:val="24"/>
        </w:rPr>
        <w:t xml:space="preserve">. Por otra parte, </w:t>
      </w:r>
      <w:proofErr w:type="spellStart"/>
      <w:r w:rsidRPr="00A8360E">
        <w:rPr>
          <w:rFonts w:ascii="Times New Roman" w:hAnsi="Times New Roman" w:cs="Times New Roman"/>
          <w:i/>
          <w:iCs/>
          <w:color w:val="000000"/>
          <w:sz w:val="24"/>
          <w:szCs w:val="24"/>
        </w:rPr>
        <w:t>Callinectes</w:t>
      </w:r>
      <w:proofErr w:type="spellEnd"/>
      <w:r w:rsidRPr="00A8360E">
        <w:rPr>
          <w:rFonts w:ascii="Times New Roman" w:hAnsi="Times New Roman" w:cs="Times New Roman"/>
          <w:i/>
          <w:iCs/>
          <w:color w:val="000000"/>
          <w:sz w:val="24"/>
          <w:szCs w:val="24"/>
        </w:rPr>
        <w:t xml:space="preserve"> </w:t>
      </w:r>
      <w:proofErr w:type="spellStart"/>
      <w:r w:rsidRPr="00A8360E">
        <w:rPr>
          <w:rFonts w:ascii="Times New Roman" w:hAnsi="Times New Roman" w:cs="Times New Roman"/>
          <w:i/>
          <w:iCs/>
          <w:color w:val="000000"/>
          <w:sz w:val="24"/>
          <w:szCs w:val="24"/>
        </w:rPr>
        <w:t>bocourti</w:t>
      </w:r>
      <w:proofErr w:type="spellEnd"/>
      <w:r w:rsidR="00A3057D">
        <w:rPr>
          <w:rFonts w:ascii="Times New Roman" w:hAnsi="Times New Roman" w:cs="Times New Roman"/>
          <w:i/>
          <w:iCs/>
          <w:color w:val="000000"/>
          <w:sz w:val="24"/>
          <w:szCs w:val="24"/>
        </w:rPr>
        <w:t xml:space="preserve"> </w:t>
      </w:r>
      <w:r w:rsidRPr="00A8360E">
        <w:rPr>
          <w:rFonts w:ascii="Times New Roman" w:hAnsi="Times New Roman" w:cs="Times New Roman"/>
          <w:color w:val="000000"/>
          <w:sz w:val="24"/>
          <w:szCs w:val="24"/>
        </w:rPr>
        <w:t xml:space="preserve">fue la única especie del género presente; se observó un </w:t>
      </w:r>
      <w:proofErr w:type="spellStart"/>
      <w:r w:rsidRPr="00A8360E">
        <w:rPr>
          <w:rFonts w:ascii="Times New Roman" w:hAnsi="Times New Roman" w:cs="Times New Roman"/>
          <w:color w:val="000000"/>
          <w:sz w:val="24"/>
          <w:szCs w:val="24"/>
        </w:rPr>
        <w:t>subestadio</w:t>
      </w:r>
      <w:proofErr w:type="spellEnd"/>
      <w:r w:rsidRPr="00A8360E">
        <w:rPr>
          <w:rFonts w:ascii="Times New Roman" w:hAnsi="Times New Roman" w:cs="Times New Roman"/>
          <w:color w:val="000000"/>
          <w:sz w:val="24"/>
          <w:szCs w:val="24"/>
        </w:rPr>
        <w:t xml:space="preserve"> de </w:t>
      </w:r>
      <w:proofErr w:type="spellStart"/>
      <w:r w:rsidRPr="00A8360E">
        <w:rPr>
          <w:rFonts w:ascii="Times New Roman" w:hAnsi="Times New Roman" w:cs="Times New Roman"/>
          <w:color w:val="000000"/>
          <w:sz w:val="24"/>
          <w:szCs w:val="24"/>
        </w:rPr>
        <w:t>Zoea</w:t>
      </w:r>
      <w:proofErr w:type="spellEnd"/>
      <w:r w:rsidRPr="00A8360E">
        <w:rPr>
          <w:rFonts w:ascii="Times New Roman" w:hAnsi="Times New Roman" w:cs="Times New Roman"/>
          <w:color w:val="000000"/>
          <w:sz w:val="24"/>
          <w:szCs w:val="24"/>
        </w:rPr>
        <w:t xml:space="preserve"> más avanzado que</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el último descrito anteriormente para la especie y todos sus estadios larvales se colectaron en</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cantidades importantes en las áreas interiores, independientemente de la conexión con el mar,</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lo que señala eclosión de huevos en varias zonas y condiciones apropiadas para cumplir su</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ciclo en el interior. La alimentación en </w:t>
      </w:r>
      <w:proofErr w:type="spellStart"/>
      <w:r w:rsidRPr="00A8360E">
        <w:rPr>
          <w:rFonts w:ascii="Times New Roman" w:hAnsi="Times New Roman" w:cs="Times New Roman"/>
          <w:color w:val="000000"/>
          <w:sz w:val="24"/>
          <w:szCs w:val="24"/>
        </w:rPr>
        <w:t>peneidos</w:t>
      </w:r>
      <w:proofErr w:type="spellEnd"/>
      <w:r w:rsidRPr="00A8360E">
        <w:rPr>
          <w:rFonts w:ascii="Times New Roman" w:hAnsi="Times New Roman" w:cs="Times New Roman"/>
          <w:color w:val="000000"/>
          <w:sz w:val="24"/>
          <w:szCs w:val="24"/>
        </w:rPr>
        <w:t xml:space="preserve"> y </w:t>
      </w:r>
      <w:proofErr w:type="spellStart"/>
      <w:r w:rsidRPr="00A8360E">
        <w:rPr>
          <w:rFonts w:ascii="Times New Roman" w:hAnsi="Times New Roman" w:cs="Times New Roman"/>
          <w:color w:val="000000"/>
          <w:sz w:val="24"/>
          <w:szCs w:val="24"/>
        </w:rPr>
        <w:t>portúnidos</w:t>
      </w:r>
      <w:proofErr w:type="spellEnd"/>
      <w:r w:rsidRPr="00A8360E">
        <w:rPr>
          <w:rFonts w:ascii="Times New Roman" w:hAnsi="Times New Roman" w:cs="Times New Roman"/>
          <w:color w:val="000000"/>
          <w:sz w:val="24"/>
          <w:szCs w:val="24"/>
        </w:rPr>
        <w:t xml:space="preserve"> fue constante, sin diferencia</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zonal ni horaria y la dieta compuesta por detrito, fitoplancton y zooplancton. La presencia de</w:t>
      </w:r>
      <w:r w:rsidR="00A3057D">
        <w:rPr>
          <w:rFonts w:ascii="Times New Roman" w:hAnsi="Times New Roman" w:cs="Times New Roman"/>
          <w:color w:val="000000"/>
          <w:sz w:val="24"/>
          <w:szCs w:val="24"/>
        </w:rPr>
        <w:t xml:space="preserve"> </w:t>
      </w:r>
      <w:proofErr w:type="spellStart"/>
      <w:r w:rsidRPr="00A8360E">
        <w:rPr>
          <w:rFonts w:ascii="Times New Roman" w:hAnsi="Times New Roman" w:cs="Times New Roman"/>
          <w:color w:val="000000"/>
          <w:sz w:val="24"/>
          <w:szCs w:val="24"/>
        </w:rPr>
        <w:t>resuspendido</w:t>
      </w:r>
      <w:proofErr w:type="spellEnd"/>
      <w:r w:rsidRPr="00A8360E">
        <w:rPr>
          <w:rFonts w:ascii="Times New Roman" w:hAnsi="Times New Roman" w:cs="Times New Roman"/>
          <w:color w:val="000000"/>
          <w:sz w:val="24"/>
          <w:szCs w:val="24"/>
        </w:rPr>
        <w:t xml:space="preserve"> y/o una tendencia mayor a la alimentación bentónica. Para describir la dinámica</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de abundancia y dispersión del total de larvas de </w:t>
      </w:r>
      <w:proofErr w:type="spellStart"/>
      <w:r w:rsidRPr="00A8360E">
        <w:rPr>
          <w:rFonts w:ascii="Times New Roman" w:hAnsi="Times New Roman" w:cs="Times New Roman"/>
          <w:color w:val="000000"/>
          <w:sz w:val="24"/>
          <w:szCs w:val="24"/>
        </w:rPr>
        <w:t>peneidos</w:t>
      </w:r>
      <w:proofErr w:type="spellEnd"/>
      <w:r w:rsidRPr="00A8360E">
        <w:rPr>
          <w:rFonts w:ascii="Times New Roman" w:hAnsi="Times New Roman" w:cs="Times New Roman"/>
          <w:color w:val="000000"/>
          <w:sz w:val="24"/>
          <w:szCs w:val="24"/>
        </w:rPr>
        <w:t xml:space="preserve"> y jaibas en la laguna, el modelo</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señaló necesario el estudio de solo algunos </w:t>
      </w:r>
      <w:proofErr w:type="spellStart"/>
      <w:r w:rsidRPr="00A8360E">
        <w:rPr>
          <w:rFonts w:ascii="Times New Roman" w:hAnsi="Times New Roman" w:cs="Times New Roman"/>
          <w:color w:val="000000"/>
          <w:sz w:val="24"/>
          <w:szCs w:val="24"/>
        </w:rPr>
        <w:t>subestadios</w:t>
      </w:r>
      <w:proofErr w:type="spellEnd"/>
      <w:r w:rsidRPr="00A8360E">
        <w:rPr>
          <w:rFonts w:ascii="Times New Roman" w:hAnsi="Times New Roman" w:cs="Times New Roman"/>
          <w:color w:val="000000"/>
          <w:sz w:val="24"/>
          <w:szCs w:val="24"/>
        </w:rPr>
        <w:t>. Aunque comparten muchas</w:t>
      </w:r>
    </w:p>
    <w:p w:rsidR="00053E80" w:rsidRPr="00A8360E" w:rsidRDefault="00053E80" w:rsidP="0041199F">
      <w:pPr>
        <w:autoSpaceDE w:val="0"/>
        <w:autoSpaceDN w:val="0"/>
        <w:adjustRightInd w:val="0"/>
        <w:spacing w:after="0" w:line="240" w:lineRule="auto"/>
        <w:jc w:val="both"/>
        <w:rPr>
          <w:sz w:val="24"/>
          <w:szCs w:val="24"/>
        </w:rPr>
      </w:pPr>
      <w:r w:rsidRPr="00A8360E">
        <w:rPr>
          <w:rFonts w:ascii="Times New Roman" w:hAnsi="Times New Roman" w:cs="Times New Roman"/>
          <w:color w:val="000000"/>
          <w:sz w:val="24"/>
          <w:szCs w:val="24"/>
        </w:rPr>
        <w:t xml:space="preserve">localidades, las larvas de </w:t>
      </w:r>
      <w:proofErr w:type="spellStart"/>
      <w:r w:rsidRPr="00A8360E">
        <w:rPr>
          <w:rFonts w:ascii="Times New Roman" w:hAnsi="Times New Roman" w:cs="Times New Roman"/>
          <w:color w:val="000000"/>
          <w:sz w:val="24"/>
          <w:szCs w:val="24"/>
        </w:rPr>
        <w:t>Penaeidae</w:t>
      </w:r>
      <w:proofErr w:type="spellEnd"/>
      <w:r w:rsidRPr="00A8360E">
        <w:rPr>
          <w:rFonts w:ascii="Times New Roman" w:hAnsi="Times New Roman" w:cs="Times New Roman"/>
          <w:color w:val="000000"/>
          <w:sz w:val="24"/>
          <w:szCs w:val="24"/>
        </w:rPr>
        <w:t xml:space="preserve"> y </w:t>
      </w:r>
      <w:proofErr w:type="spellStart"/>
      <w:r w:rsidRPr="00A8360E">
        <w:rPr>
          <w:rFonts w:ascii="Times New Roman" w:hAnsi="Times New Roman" w:cs="Times New Roman"/>
          <w:color w:val="000000"/>
          <w:sz w:val="24"/>
          <w:szCs w:val="24"/>
        </w:rPr>
        <w:t>Portunidae</w:t>
      </w:r>
      <w:proofErr w:type="spellEnd"/>
      <w:r w:rsidRPr="00A8360E">
        <w:rPr>
          <w:rFonts w:ascii="Times New Roman" w:hAnsi="Times New Roman" w:cs="Times New Roman"/>
          <w:color w:val="000000"/>
          <w:sz w:val="24"/>
          <w:szCs w:val="24"/>
        </w:rPr>
        <w:t xml:space="preserve"> tienden a separarse espacialmente, las</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primeras al Oeste, con profundidades medias a altas, elevado pH y bajas temperaturas y</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transparencia y las segundas al Este, con alta salinidad y porcentaje de arena, pero poca</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de larvas y </w:t>
      </w:r>
      <w:proofErr w:type="spellStart"/>
      <w:r w:rsidRPr="00A8360E">
        <w:rPr>
          <w:rFonts w:ascii="Times New Roman" w:hAnsi="Times New Roman" w:cs="Times New Roman"/>
          <w:color w:val="000000"/>
          <w:sz w:val="24"/>
          <w:szCs w:val="24"/>
        </w:rPr>
        <w:t>postlarvas</w:t>
      </w:r>
      <w:proofErr w:type="spellEnd"/>
      <w:r w:rsidRPr="00A8360E">
        <w:rPr>
          <w:rFonts w:ascii="Times New Roman" w:hAnsi="Times New Roman" w:cs="Times New Roman"/>
          <w:color w:val="000000"/>
          <w:sz w:val="24"/>
          <w:szCs w:val="24"/>
        </w:rPr>
        <w:t xml:space="preserve"> del género </w:t>
      </w:r>
      <w:proofErr w:type="spellStart"/>
      <w:r w:rsidRPr="00A8360E">
        <w:rPr>
          <w:rFonts w:ascii="Times New Roman" w:hAnsi="Times New Roman" w:cs="Times New Roman"/>
          <w:i/>
          <w:iCs/>
          <w:color w:val="000000"/>
          <w:sz w:val="24"/>
          <w:szCs w:val="24"/>
        </w:rPr>
        <w:t>Callinectes</w:t>
      </w:r>
      <w:proofErr w:type="spellEnd"/>
      <w:r w:rsidRPr="00A8360E">
        <w:rPr>
          <w:rFonts w:ascii="Times New Roman" w:hAnsi="Times New Roman" w:cs="Times New Roman"/>
          <w:i/>
          <w:iCs/>
          <w:color w:val="000000"/>
          <w:sz w:val="24"/>
          <w:szCs w:val="24"/>
        </w:rPr>
        <w:t xml:space="preserve"> </w:t>
      </w:r>
      <w:r w:rsidRPr="00A8360E">
        <w:rPr>
          <w:rFonts w:ascii="Times New Roman" w:hAnsi="Times New Roman" w:cs="Times New Roman"/>
          <w:color w:val="000000"/>
          <w:sz w:val="24"/>
          <w:szCs w:val="24"/>
        </w:rPr>
        <w:t xml:space="preserve">y los </w:t>
      </w:r>
      <w:proofErr w:type="spellStart"/>
      <w:r w:rsidRPr="00A8360E">
        <w:rPr>
          <w:rFonts w:ascii="Times New Roman" w:hAnsi="Times New Roman" w:cs="Times New Roman"/>
          <w:color w:val="000000"/>
          <w:sz w:val="24"/>
          <w:szCs w:val="24"/>
        </w:rPr>
        <w:t>Penaeidae</w:t>
      </w:r>
      <w:proofErr w:type="spellEnd"/>
      <w:r w:rsidRPr="00A8360E">
        <w:rPr>
          <w:rFonts w:ascii="Times New Roman" w:hAnsi="Times New Roman" w:cs="Times New Roman"/>
          <w:color w:val="000000"/>
          <w:sz w:val="24"/>
          <w:szCs w:val="24"/>
        </w:rPr>
        <w:t xml:space="preserve"> en esta laguna, de acuerdo a su</w:t>
      </w:r>
      <w:r w:rsidR="00A3057D">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de sedimento. Los resultados confirmaron la</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profundidad. Los últimos estadios en cada taxón amplían su distribución en sentidos opuestos</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arena en los tractos digestivos de las </w:t>
      </w:r>
      <w:proofErr w:type="spellStart"/>
      <w:r w:rsidRPr="00A8360E">
        <w:rPr>
          <w:rFonts w:ascii="Times New Roman" w:hAnsi="Times New Roman" w:cs="Times New Roman"/>
          <w:color w:val="000000"/>
          <w:sz w:val="24"/>
          <w:szCs w:val="24"/>
        </w:rPr>
        <w:t>zoeas</w:t>
      </w:r>
      <w:proofErr w:type="spellEnd"/>
      <w:r w:rsidRPr="00A8360E">
        <w:rPr>
          <w:rFonts w:ascii="Times New Roman" w:hAnsi="Times New Roman" w:cs="Times New Roman"/>
          <w:color w:val="000000"/>
          <w:sz w:val="24"/>
          <w:szCs w:val="24"/>
        </w:rPr>
        <w:t xml:space="preserve"> parece señalar mayor uso del material</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presencia de </w:t>
      </w:r>
      <w:proofErr w:type="spellStart"/>
      <w:r w:rsidRPr="00A8360E">
        <w:rPr>
          <w:rFonts w:ascii="Times New Roman" w:hAnsi="Times New Roman" w:cs="Times New Roman"/>
          <w:i/>
          <w:iCs/>
          <w:color w:val="000000"/>
          <w:sz w:val="24"/>
          <w:szCs w:val="24"/>
        </w:rPr>
        <w:t>Litopenaeus</w:t>
      </w:r>
      <w:proofErr w:type="spellEnd"/>
      <w:r w:rsidRPr="00A8360E">
        <w:rPr>
          <w:rFonts w:ascii="Times New Roman" w:hAnsi="Times New Roman" w:cs="Times New Roman"/>
          <w:i/>
          <w:iCs/>
          <w:color w:val="000000"/>
          <w:sz w:val="24"/>
          <w:szCs w:val="24"/>
        </w:rPr>
        <w:t xml:space="preserve"> </w:t>
      </w:r>
      <w:proofErr w:type="spellStart"/>
      <w:r w:rsidRPr="00A8360E">
        <w:rPr>
          <w:rFonts w:ascii="Times New Roman" w:hAnsi="Times New Roman" w:cs="Times New Roman"/>
          <w:i/>
          <w:iCs/>
          <w:color w:val="000000"/>
          <w:sz w:val="24"/>
          <w:szCs w:val="24"/>
        </w:rPr>
        <w:t>schmitti</w:t>
      </w:r>
      <w:proofErr w:type="spellEnd"/>
      <w:r w:rsidRPr="00A8360E">
        <w:rPr>
          <w:rFonts w:ascii="Times New Roman" w:hAnsi="Times New Roman" w:cs="Times New Roman"/>
          <w:i/>
          <w:iCs/>
          <w:color w:val="000000"/>
          <w:sz w:val="24"/>
          <w:szCs w:val="24"/>
        </w:rPr>
        <w:t xml:space="preserve"> </w:t>
      </w:r>
      <w:r w:rsidRPr="00A8360E">
        <w:rPr>
          <w:rFonts w:ascii="Times New Roman" w:hAnsi="Times New Roman" w:cs="Times New Roman"/>
          <w:color w:val="000000"/>
          <w:sz w:val="24"/>
          <w:szCs w:val="24"/>
        </w:rPr>
        <w:t>y las especies del “</w:t>
      </w:r>
      <w:proofErr w:type="spellStart"/>
      <w:r w:rsidRPr="00A8360E">
        <w:rPr>
          <w:rFonts w:ascii="Times New Roman" w:hAnsi="Times New Roman" w:cs="Times New Roman"/>
          <w:color w:val="000000"/>
          <w:sz w:val="24"/>
          <w:szCs w:val="24"/>
        </w:rPr>
        <w:t>Complej</w:t>
      </w:r>
      <w:proofErr w:type="spellEnd"/>
      <w:r w:rsidRPr="00A8360E">
        <w:rPr>
          <w:rFonts w:ascii="Times New Roman" w:hAnsi="Times New Roman" w:cs="Times New Roman"/>
          <w:color w:val="000000"/>
          <w:sz w:val="24"/>
          <w:szCs w:val="24"/>
        </w:rPr>
        <w:t xml:space="preserve"> o </w:t>
      </w:r>
      <w:proofErr w:type="spellStart"/>
      <w:r w:rsidRPr="00A8360E">
        <w:rPr>
          <w:rFonts w:ascii="Times New Roman" w:hAnsi="Times New Roman" w:cs="Times New Roman"/>
          <w:i/>
          <w:iCs/>
          <w:color w:val="000000"/>
          <w:sz w:val="24"/>
          <w:szCs w:val="24"/>
        </w:rPr>
        <w:t>brasil</w:t>
      </w:r>
      <w:proofErr w:type="spellEnd"/>
      <w:r w:rsidRPr="00A8360E">
        <w:rPr>
          <w:rFonts w:ascii="Times New Roman" w:hAnsi="Times New Roman" w:cs="Times New Roman"/>
          <w:i/>
          <w:iCs/>
          <w:color w:val="000000"/>
          <w:sz w:val="24"/>
          <w:szCs w:val="24"/>
        </w:rPr>
        <w:t xml:space="preserve"> </w:t>
      </w:r>
      <w:proofErr w:type="spellStart"/>
      <w:r w:rsidRPr="00A8360E">
        <w:rPr>
          <w:rFonts w:ascii="Times New Roman" w:hAnsi="Times New Roman" w:cs="Times New Roman"/>
          <w:i/>
          <w:iCs/>
          <w:color w:val="000000"/>
          <w:sz w:val="24"/>
          <w:szCs w:val="24"/>
        </w:rPr>
        <w:t>iensis</w:t>
      </w:r>
      <w:proofErr w:type="spellEnd"/>
      <w:r w:rsidRPr="00A8360E">
        <w:rPr>
          <w:rFonts w:ascii="Times New Roman" w:hAnsi="Times New Roman" w:cs="Times New Roman"/>
          <w:i/>
          <w:iCs/>
          <w:color w:val="000000"/>
          <w:sz w:val="24"/>
          <w:szCs w:val="24"/>
        </w:rPr>
        <w:t>”</w:t>
      </w:r>
      <w:r w:rsidR="0041199F">
        <w:rPr>
          <w:rFonts w:ascii="Times New Roman" w:hAnsi="Times New Roman" w:cs="Times New Roman"/>
          <w:i/>
          <w:iCs/>
          <w:color w:val="000000"/>
          <w:sz w:val="24"/>
          <w:szCs w:val="24"/>
        </w:rPr>
        <w:t xml:space="preserve"> </w:t>
      </w:r>
      <w:r w:rsidRPr="00A8360E">
        <w:rPr>
          <w:rFonts w:ascii="Times New Roman" w:hAnsi="Times New Roman" w:cs="Times New Roman"/>
          <w:color w:val="000000"/>
          <w:sz w:val="24"/>
          <w:szCs w:val="24"/>
        </w:rPr>
        <w:t>Marzo-Mayo y Noviembre-Febrero, dominando levemente las más desarrolladas en Junio y</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las menos avanzadas en Septiembre y Octubre, mientras</w:t>
      </w:r>
      <w:r>
        <w:rPr>
          <w:rFonts w:ascii="Times New Roman" w:hAnsi="Times New Roman" w:cs="Times New Roman"/>
          <w:color w:val="000000"/>
          <w:sz w:val="74"/>
          <w:szCs w:val="74"/>
        </w:rPr>
        <w:t xml:space="preserve"> </w:t>
      </w:r>
      <w:r w:rsidRPr="00A8360E">
        <w:rPr>
          <w:rFonts w:ascii="Times New Roman" w:hAnsi="Times New Roman" w:cs="Times New Roman"/>
          <w:color w:val="000000"/>
          <w:sz w:val="24"/>
          <w:szCs w:val="24"/>
        </w:rPr>
        <w:t xml:space="preserve">para </w:t>
      </w:r>
      <w:proofErr w:type="spellStart"/>
      <w:r w:rsidRPr="00A8360E">
        <w:rPr>
          <w:rFonts w:ascii="Times New Roman" w:hAnsi="Times New Roman" w:cs="Times New Roman"/>
          <w:color w:val="000000"/>
          <w:sz w:val="24"/>
          <w:szCs w:val="24"/>
        </w:rPr>
        <w:t>zoeas</w:t>
      </w:r>
      <w:proofErr w:type="spellEnd"/>
      <w:r w:rsidRPr="00A8360E">
        <w:rPr>
          <w:rFonts w:ascii="Times New Roman" w:hAnsi="Times New Roman" w:cs="Times New Roman"/>
          <w:color w:val="000000"/>
          <w:sz w:val="24"/>
          <w:szCs w:val="24"/>
        </w:rPr>
        <w:t xml:space="preserve"> y </w:t>
      </w:r>
      <w:proofErr w:type="spellStart"/>
      <w:r w:rsidRPr="00A8360E">
        <w:rPr>
          <w:rFonts w:ascii="Times New Roman" w:hAnsi="Times New Roman" w:cs="Times New Roman"/>
          <w:color w:val="000000"/>
          <w:sz w:val="24"/>
          <w:szCs w:val="24"/>
        </w:rPr>
        <w:t>megalopas</w:t>
      </w:r>
      <w:proofErr w:type="spellEnd"/>
      <w:r w:rsidRPr="00A8360E">
        <w:rPr>
          <w:rFonts w:ascii="Times New Roman" w:hAnsi="Times New Roman" w:cs="Times New Roman"/>
          <w:color w:val="000000"/>
          <w:sz w:val="24"/>
          <w:szCs w:val="24"/>
        </w:rPr>
        <w:t>, las mayores</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densidades ocurren</w:t>
      </w:r>
      <w:r>
        <w:rPr>
          <w:rFonts w:ascii="Times New Roman" w:hAnsi="Times New Roman" w:cs="Times New Roman"/>
          <w:color w:val="000000"/>
          <w:sz w:val="74"/>
          <w:szCs w:val="74"/>
        </w:rPr>
        <w:t xml:space="preserve"> </w:t>
      </w:r>
      <w:r w:rsidRPr="00A8360E">
        <w:rPr>
          <w:rFonts w:ascii="Times New Roman" w:hAnsi="Times New Roman" w:cs="Times New Roman"/>
          <w:color w:val="000000"/>
          <w:sz w:val="24"/>
          <w:szCs w:val="24"/>
        </w:rPr>
        <w:t>en Marzo-Junio y Diciembre-Febrero, pero además, las últimas</w:t>
      </w:r>
      <w:r>
        <w:rPr>
          <w:rFonts w:ascii="Times New Roman" w:hAnsi="Times New Roman" w:cs="Times New Roman"/>
          <w:color w:val="000000"/>
          <w:sz w:val="74"/>
          <w:szCs w:val="74"/>
        </w:rPr>
        <w:t xml:space="preserve"> </w:t>
      </w:r>
      <w:r w:rsidRPr="00A8360E">
        <w:rPr>
          <w:rFonts w:ascii="Times New Roman" w:hAnsi="Times New Roman" w:cs="Times New Roman"/>
          <w:color w:val="000000"/>
          <w:sz w:val="24"/>
          <w:szCs w:val="24"/>
        </w:rPr>
        <w:t>suelen</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ausencia de</w:t>
      </w:r>
      <w:r w:rsidR="0041199F">
        <w:rPr>
          <w:rFonts w:ascii="Times New Roman" w:hAnsi="Times New Roman" w:cs="Times New Roman"/>
          <w:color w:val="000000"/>
          <w:sz w:val="24"/>
          <w:szCs w:val="24"/>
        </w:rPr>
        <w:t xml:space="preserve"> </w:t>
      </w:r>
      <w:proofErr w:type="spellStart"/>
      <w:r w:rsidRPr="00A8360E">
        <w:rPr>
          <w:rFonts w:ascii="Times New Roman" w:hAnsi="Times New Roman" w:cs="Times New Roman"/>
          <w:color w:val="000000"/>
          <w:sz w:val="24"/>
          <w:szCs w:val="24"/>
        </w:rPr>
        <w:t>postlarvas</w:t>
      </w:r>
      <w:proofErr w:type="spellEnd"/>
      <w:r w:rsidRPr="00A8360E">
        <w:rPr>
          <w:rFonts w:ascii="Times New Roman" w:hAnsi="Times New Roman" w:cs="Times New Roman"/>
          <w:color w:val="000000"/>
          <w:sz w:val="24"/>
          <w:szCs w:val="24"/>
        </w:rPr>
        <w:t xml:space="preserve"> se relaciona con el cierre de La Boca, pero no</w:t>
      </w:r>
      <w:r>
        <w:rPr>
          <w:rFonts w:ascii="Times New Roman" w:hAnsi="Times New Roman" w:cs="Times New Roman"/>
          <w:color w:val="000000"/>
          <w:sz w:val="74"/>
          <w:szCs w:val="74"/>
        </w:rPr>
        <w:t xml:space="preserve"> </w:t>
      </w:r>
      <w:r w:rsidRPr="00A8360E">
        <w:rPr>
          <w:rFonts w:ascii="Times New Roman" w:hAnsi="Times New Roman" w:cs="Times New Roman"/>
          <w:color w:val="000000"/>
          <w:sz w:val="24"/>
          <w:szCs w:val="24"/>
        </w:rPr>
        <w:t xml:space="preserve">así para las </w:t>
      </w:r>
      <w:proofErr w:type="spellStart"/>
      <w:r w:rsidRPr="00A8360E">
        <w:rPr>
          <w:rFonts w:ascii="Times New Roman" w:hAnsi="Times New Roman" w:cs="Times New Roman"/>
          <w:color w:val="000000"/>
          <w:sz w:val="24"/>
          <w:szCs w:val="24"/>
        </w:rPr>
        <w:t>zoeas</w:t>
      </w:r>
      <w:proofErr w:type="spellEnd"/>
      <w:r w:rsidRPr="00A8360E">
        <w:rPr>
          <w:rFonts w:ascii="Times New Roman" w:hAnsi="Times New Roman" w:cs="Times New Roman"/>
          <w:color w:val="000000"/>
          <w:sz w:val="24"/>
          <w:szCs w:val="24"/>
        </w:rPr>
        <w:t>, en las que estaría</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 xml:space="preserve">camaronera, las ecuaciones basadas en las densidades de las PL9/2 de L. </w:t>
      </w:r>
      <w:proofErr w:type="spellStart"/>
      <w:r w:rsidRPr="00A8360E">
        <w:rPr>
          <w:rFonts w:ascii="Times New Roman" w:hAnsi="Times New Roman" w:cs="Times New Roman"/>
          <w:color w:val="000000"/>
          <w:sz w:val="24"/>
          <w:szCs w:val="24"/>
        </w:rPr>
        <w:t>schmitti</w:t>
      </w:r>
      <w:proofErr w:type="spellEnd"/>
      <w:r w:rsidRPr="00A8360E">
        <w:rPr>
          <w:rFonts w:ascii="Times New Roman" w:hAnsi="Times New Roman" w:cs="Times New Roman"/>
          <w:color w:val="000000"/>
          <w:sz w:val="24"/>
          <w:szCs w:val="24"/>
        </w:rPr>
        <w:t xml:space="preserve"> y 8/2 del</w:t>
      </w:r>
      <w:r w:rsidR="0041199F">
        <w:rPr>
          <w:rFonts w:ascii="Times New Roman" w:hAnsi="Times New Roman" w:cs="Times New Roman"/>
          <w:color w:val="000000"/>
          <w:sz w:val="24"/>
          <w:szCs w:val="24"/>
        </w:rPr>
        <w:t xml:space="preserve"> </w:t>
      </w:r>
      <w:r w:rsidRPr="00A8360E">
        <w:rPr>
          <w:rFonts w:ascii="Times New Roman" w:hAnsi="Times New Roman" w:cs="Times New Roman"/>
          <w:color w:val="000000"/>
          <w:sz w:val="24"/>
          <w:szCs w:val="24"/>
        </w:rPr>
        <w:t>“Complejo”, se consideraron biológicamente más</w:t>
      </w:r>
      <w:r>
        <w:rPr>
          <w:rFonts w:ascii="Times New Roman" w:hAnsi="Times New Roman" w:cs="Times New Roman"/>
          <w:color w:val="000000"/>
          <w:sz w:val="74"/>
          <w:szCs w:val="74"/>
        </w:rPr>
        <w:t xml:space="preserve"> </w:t>
      </w:r>
      <w:r w:rsidRPr="00A8360E">
        <w:rPr>
          <w:rFonts w:ascii="Times New Roman" w:hAnsi="Times New Roman" w:cs="Times New Roman"/>
          <w:color w:val="000000"/>
          <w:sz w:val="24"/>
          <w:szCs w:val="24"/>
        </w:rPr>
        <w:t>acertadas para estimar la producción</w:t>
      </w:r>
      <w:r w:rsidR="0041199F">
        <w:rPr>
          <w:rFonts w:ascii="Times New Roman" w:hAnsi="Times New Roman" w:cs="Times New Roman"/>
          <w:color w:val="000000"/>
          <w:sz w:val="24"/>
          <w:szCs w:val="24"/>
        </w:rPr>
        <w:t xml:space="preserve"> </w:t>
      </w:r>
      <w:bookmarkStart w:id="0" w:name="_GoBack"/>
      <w:bookmarkEnd w:id="0"/>
      <w:r w:rsidRPr="00A8360E">
        <w:rPr>
          <w:rFonts w:ascii="Times New Roman" w:hAnsi="Times New Roman" w:cs="Times New Roman"/>
          <w:color w:val="000000"/>
          <w:sz w:val="24"/>
          <w:szCs w:val="24"/>
        </w:rPr>
        <w:t>camaronera, con tres meses de antelación.</w:t>
      </w:r>
    </w:p>
    <w:p w:rsidR="00662B15" w:rsidRDefault="00662B15" w:rsidP="00A3057D">
      <w:pPr>
        <w:jc w:val="both"/>
      </w:pPr>
    </w:p>
    <w:p w:rsidR="00662B15" w:rsidRDefault="00662B15" w:rsidP="00E725BC">
      <w:pPr>
        <w:jc w:val="both"/>
      </w:pPr>
    </w:p>
    <w:p w:rsidR="00662B15" w:rsidRDefault="00662B15" w:rsidP="00E725BC">
      <w:pPr>
        <w:jc w:val="both"/>
      </w:pPr>
    </w:p>
    <w:p w:rsidR="00662B15" w:rsidRDefault="00662B15" w:rsidP="00E725BC">
      <w:pPr>
        <w:jc w:val="both"/>
      </w:pPr>
    </w:p>
    <w:p w:rsidR="00662B15" w:rsidRDefault="00662B15" w:rsidP="00E725BC">
      <w:pPr>
        <w:jc w:val="both"/>
      </w:pPr>
    </w:p>
    <w:p w:rsidR="00662B15" w:rsidRDefault="00662B15" w:rsidP="00E725BC">
      <w:pPr>
        <w:jc w:val="both"/>
      </w:pPr>
    </w:p>
    <w:p w:rsidR="00662B15" w:rsidRDefault="00662B15" w:rsidP="00E725BC">
      <w:pPr>
        <w:jc w:val="both"/>
      </w:pPr>
    </w:p>
    <w:sectPr w:rsidR="00662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BC"/>
    <w:rsid w:val="00053E80"/>
    <w:rsid w:val="00387E8E"/>
    <w:rsid w:val="0041199F"/>
    <w:rsid w:val="00662B15"/>
    <w:rsid w:val="006C6A35"/>
    <w:rsid w:val="008B529B"/>
    <w:rsid w:val="00A3057D"/>
    <w:rsid w:val="00A8360E"/>
    <w:rsid w:val="00C814CF"/>
    <w:rsid w:val="00D65641"/>
    <w:rsid w:val="00E725B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3B06-EB57-45F9-BC4E-9C35EBD6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1113</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Airam Michelena</dc:creator>
  <cp:lastModifiedBy>Airam Michelena</cp:lastModifiedBy>
  <cp:revision>7</cp:revision>
  <dcterms:created xsi:type="dcterms:W3CDTF">2022-10-27T15:14:00Z</dcterms:created>
  <dcterms:modified xsi:type="dcterms:W3CDTF">2023-03-30T15:32:00Z</dcterms:modified>
</cp:coreProperties>
</file>