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C15B4B" w:rsidRPr="003665DA" w:rsidTr="00C15B4B">
        <w:trPr>
          <w:trHeight w:val="326"/>
        </w:trPr>
        <w:tc>
          <w:tcPr>
            <w:tcW w:w="9054" w:type="dxa"/>
            <w:tcBorders>
              <w:top w:val="nil"/>
              <w:left w:val="nil"/>
              <w:bottom w:val="nil"/>
              <w:right w:val="nil"/>
            </w:tcBorders>
          </w:tcPr>
          <w:p w:rsidR="00C15B4B" w:rsidRPr="003665DA" w:rsidRDefault="00C15B4B" w:rsidP="009B1DF1">
            <w:pPr>
              <w:spacing w:after="160" w:line="256" w:lineRule="auto"/>
              <w:jc w:val="right"/>
              <w:rPr>
                <w:rFonts w:ascii="Calibri" w:eastAsia="Calibri" w:hAnsi="Calibri" w:cs="Times New Roman"/>
                <w:lang w:val="es-VE"/>
              </w:rPr>
            </w:pPr>
            <w:r w:rsidRPr="003665DA">
              <w:rPr>
                <w:rFonts w:ascii="Arial" w:eastAsia="Calibri" w:hAnsi="Arial" w:cs="Arial"/>
                <w:b/>
                <w:lang w:val="es-VE"/>
              </w:rPr>
              <w:t xml:space="preserve">Domingo </w:t>
            </w:r>
            <w:r>
              <w:rPr>
                <w:rFonts w:ascii="Arial" w:eastAsia="Calibri" w:hAnsi="Arial" w:cs="Arial"/>
                <w:b/>
                <w:lang w:val="es-VE"/>
              </w:rPr>
              <w:t>2</w:t>
            </w:r>
            <w:r w:rsidRPr="003665DA">
              <w:rPr>
                <w:rFonts w:ascii="Arial" w:eastAsia="Calibri" w:hAnsi="Arial" w:cs="Arial"/>
                <w:b/>
                <w:lang w:val="es-VE"/>
              </w:rPr>
              <w:t xml:space="preserve"> de </w:t>
            </w:r>
            <w:r>
              <w:rPr>
                <w:rFonts w:ascii="Arial" w:eastAsia="Calibri" w:hAnsi="Arial" w:cs="Arial"/>
                <w:b/>
                <w:lang w:val="es-VE"/>
              </w:rPr>
              <w:t>agosto de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1"/>
              <w:gridCol w:w="2277"/>
            </w:tblGrid>
            <w:tr w:rsidR="00C15B4B" w:rsidRPr="003665DA" w:rsidTr="009B1DF1">
              <w:trPr>
                <w:trHeight w:val="326"/>
              </w:trPr>
              <w:tc>
                <w:tcPr>
                  <w:tcW w:w="9054" w:type="dxa"/>
                  <w:gridSpan w:val="2"/>
                  <w:tcBorders>
                    <w:top w:val="nil"/>
                    <w:left w:val="nil"/>
                    <w:bottom w:val="nil"/>
                    <w:right w:val="nil"/>
                  </w:tcBorders>
                </w:tcPr>
                <w:p w:rsidR="00C15B4B" w:rsidRPr="003665DA" w:rsidRDefault="00C15B4B" w:rsidP="009B1DF1">
                  <w:pPr>
                    <w:spacing w:after="160" w:line="256" w:lineRule="auto"/>
                    <w:jc w:val="center"/>
                    <w:rPr>
                      <w:rFonts w:ascii="Calibri" w:eastAsia="Calibri" w:hAnsi="Calibri" w:cs="Times New Roman"/>
                      <w:lang w:val="es-VE"/>
                    </w:rPr>
                  </w:pPr>
                </w:p>
              </w:tc>
            </w:tr>
            <w:tr w:rsidR="00C15B4B" w:rsidRPr="003665DA" w:rsidTr="009B1DF1">
              <w:trPr>
                <w:trHeight w:val="1223"/>
              </w:trPr>
              <w:tc>
                <w:tcPr>
                  <w:tcW w:w="6758" w:type="dxa"/>
                  <w:tcBorders>
                    <w:top w:val="nil"/>
                    <w:left w:val="nil"/>
                    <w:bottom w:val="nil"/>
                    <w:right w:val="nil"/>
                  </w:tcBorders>
                </w:tcPr>
                <w:p w:rsidR="00C15B4B" w:rsidRPr="003665DA" w:rsidRDefault="00C15B4B" w:rsidP="009B1DF1">
                  <w:pPr>
                    <w:spacing w:after="160" w:line="256" w:lineRule="auto"/>
                    <w:jc w:val="center"/>
                    <w:rPr>
                      <w:rFonts w:ascii="Arial" w:eastAsia="Calibri" w:hAnsi="Arial" w:cs="Arial"/>
                      <w:b/>
                      <w:i/>
                      <w:sz w:val="32"/>
                      <w:szCs w:val="32"/>
                      <w:u w:val="single"/>
                      <w:lang w:val="es-VE"/>
                    </w:rPr>
                  </w:pPr>
                  <w:r w:rsidRPr="003665DA">
                    <w:rPr>
                      <w:rFonts w:ascii="Arial" w:eastAsia="Calibri" w:hAnsi="Arial" w:cs="Arial"/>
                      <w:b/>
                      <w:i/>
                      <w:sz w:val="32"/>
                      <w:szCs w:val="32"/>
                      <w:u w:val="single"/>
                      <w:lang w:val="es-VE"/>
                    </w:rPr>
                    <w:t>LA VOZ INTERNACIONAL</w:t>
                  </w:r>
                </w:p>
                <w:p w:rsidR="00C15B4B" w:rsidRPr="003665DA" w:rsidRDefault="00C15B4B" w:rsidP="009B1DF1">
                  <w:pPr>
                    <w:spacing w:after="160" w:line="256" w:lineRule="auto"/>
                    <w:jc w:val="center"/>
                    <w:rPr>
                      <w:rFonts w:ascii="Arial" w:eastAsia="Calibri" w:hAnsi="Arial" w:cs="Arial"/>
                      <w:b/>
                      <w:sz w:val="20"/>
                      <w:szCs w:val="20"/>
                      <w:lang w:val="es-VE"/>
                    </w:rPr>
                  </w:pPr>
                </w:p>
              </w:tc>
              <w:tc>
                <w:tcPr>
                  <w:tcW w:w="0" w:type="auto"/>
                  <w:vMerge w:val="restart"/>
                  <w:tcBorders>
                    <w:top w:val="nil"/>
                    <w:left w:val="nil"/>
                    <w:bottom w:val="nil"/>
                    <w:right w:val="nil"/>
                  </w:tcBorders>
                  <w:vAlign w:val="center"/>
                  <w:hideMark/>
                </w:tcPr>
                <w:p w:rsidR="00C15B4B" w:rsidRPr="003665DA" w:rsidRDefault="00C15B4B" w:rsidP="009B1DF1">
                  <w:pPr>
                    <w:spacing w:after="160" w:line="256" w:lineRule="auto"/>
                    <w:jc w:val="center"/>
                    <w:rPr>
                      <w:rFonts w:ascii="Calibri" w:eastAsia="Calibri" w:hAnsi="Calibri" w:cs="Times New Roman"/>
                      <w:lang w:val="es-VE"/>
                    </w:rPr>
                  </w:pPr>
                  <w:r w:rsidRPr="003665DA">
                    <w:rPr>
                      <w:rFonts w:ascii="Calibri" w:eastAsia="Calibri" w:hAnsi="Calibri" w:cs="Times New Roman"/>
                      <w:noProof/>
                      <w:lang w:val="es-VE" w:eastAsia="es-VE"/>
                    </w:rPr>
                    <w:drawing>
                      <wp:inline distT="0" distB="0" distL="0" distR="0" wp14:anchorId="0F8B9D8F" wp14:editId="7A283A28">
                        <wp:extent cx="1076325" cy="1076325"/>
                        <wp:effectExtent l="0" t="0" r="9525" b="9525"/>
                        <wp:docPr id="2" name="Imagen 2" descr="Descripción: Descripción: Descripción: 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C15B4B" w:rsidRPr="003665DA" w:rsidTr="009B1DF1">
              <w:trPr>
                <w:trHeight w:val="1114"/>
              </w:trPr>
              <w:tc>
                <w:tcPr>
                  <w:tcW w:w="6758" w:type="dxa"/>
                  <w:tcBorders>
                    <w:top w:val="nil"/>
                    <w:left w:val="nil"/>
                    <w:bottom w:val="nil"/>
                    <w:right w:val="nil"/>
                  </w:tcBorders>
                  <w:hideMark/>
                </w:tcPr>
                <w:p w:rsidR="00C15B4B" w:rsidRPr="003665DA" w:rsidRDefault="00C15B4B" w:rsidP="009B1DF1">
                  <w:pPr>
                    <w:spacing w:after="160" w:line="256" w:lineRule="auto"/>
                    <w:jc w:val="both"/>
                    <w:rPr>
                      <w:rFonts w:ascii="Calibri" w:eastAsia="Calibri" w:hAnsi="Calibri" w:cs="Times New Roman"/>
                      <w:lang w:val="es-VE"/>
                    </w:rPr>
                  </w:pPr>
                  <w:r w:rsidRPr="003665DA">
                    <w:rPr>
                      <w:rFonts w:ascii="Arial" w:eastAsia="Calibri" w:hAnsi="Arial" w:cs="Arial"/>
                      <w:lang w:val="es-VE"/>
                    </w:rPr>
                    <w:t xml:space="preserve">Artículos escritos para </w:t>
                  </w:r>
                  <w:r w:rsidRPr="003665DA">
                    <w:rPr>
                      <w:rFonts w:ascii="Arial" w:eastAsia="Calibri" w:hAnsi="Arial" w:cs="Arial"/>
                      <w:b/>
                      <w:lang w:val="es-VE"/>
                    </w:rPr>
                    <w:t>La Voz</w:t>
                  </w:r>
                  <w:r w:rsidRPr="003665DA">
                    <w:rPr>
                      <w:rFonts w:ascii="Arial" w:eastAsia="Calibri" w:hAnsi="Arial" w:cs="Arial"/>
                      <w:lang w:val="es-VE"/>
                    </w:rPr>
                    <w:t xml:space="preserve"> por los profesores de la </w:t>
                  </w:r>
                  <w:r w:rsidRPr="003665DA">
                    <w:rPr>
                      <w:rFonts w:ascii="Arial" w:eastAsia="Calibri" w:hAnsi="Arial" w:cs="Arial"/>
                      <w:b/>
                      <w:lang w:val="es-VE"/>
                    </w:rPr>
                    <w:t>Escuela de Estudios Internacionales (FACES-UCV)</w:t>
                  </w:r>
                  <w:r w:rsidRPr="003665DA">
                    <w:rPr>
                      <w:rFonts w:ascii="Arial" w:eastAsia="Calibri" w:hAnsi="Arial" w:cs="Arial"/>
                      <w:lang w:val="es-VE"/>
                    </w:rPr>
                    <w:t>. La responsabilidad de las opiniones emitidas en sus artículos y Notas Internacionales es de los autores y no comprometen a la institución</w:t>
                  </w:r>
                  <w:r w:rsidRPr="003665DA">
                    <w:rPr>
                      <w:rFonts w:ascii="Arial" w:eastAsia="Calibri" w:hAnsi="Arial" w:cs="Arial"/>
                      <w:b/>
                      <w:lang w:val="es-VE"/>
                    </w:rPr>
                    <w:t>.</w:t>
                  </w:r>
                </w:p>
              </w:tc>
              <w:tc>
                <w:tcPr>
                  <w:tcW w:w="0" w:type="auto"/>
                  <w:vMerge/>
                  <w:tcBorders>
                    <w:top w:val="nil"/>
                    <w:left w:val="nil"/>
                    <w:bottom w:val="nil"/>
                    <w:right w:val="nil"/>
                  </w:tcBorders>
                  <w:vAlign w:val="center"/>
                  <w:hideMark/>
                </w:tcPr>
                <w:p w:rsidR="00C15B4B" w:rsidRPr="003665DA" w:rsidRDefault="00C15B4B" w:rsidP="009B1DF1">
                  <w:pPr>
                    <w:spacing w:after="0" w:line="240" w:lineRule="auto"/>
                    <w:rPr>
                      <w:rFonts w:ascii="Calibri" w:eastAsia="Calibri" w:hAnsi="Calibri" w:cs="Times New Roman"/>
                      <w:lang w:val="es-VE"/>
                    </w:rPr>
                  </w:pPr>
                </w:p>
              </w:tc>
            </w:tr>
          </w:tbl>
          <w:p w:rsidR="00C15B4B" w:rsidRPr="003665DA" w:rsidRDefault="00C15B4B" w:rsidP="009B1DF1">
            <w:pPr>
              <w:spacing w:after="160" w:line="256" w:lineRule="auto"/>
              <w:jc w:val="center"/>
              <w:rPr>
                <w:rFonts w:ascii="Calibri" w:eastAsia="Calibri" w:hAnsi="Calibri" w:cs="Times New Roman"/>
                <w:lang w:val="es-VE"/>
              </w:rPr>
            </w:pPr>
          </w:p>
        </w:tc>
      </w:tr>
    </w:tbl>
    <w:p w:rsidR="00A72D3E" w:rsidRPr="00A72D3E" w:rsidRDefault="009C7AAB" w:rsidP="0048796B">
      <w:pPr>
        <w:shd w:val="clear" w:color="auto" w:fill="FFFFFF"/>
        <w:spacing w:after="0" w:line="240" w:lineRule="auto"/>
        <w:jc w:val="center"/>
        <w:textAlignment w:val="baseline"/>
        <w:rPr>
          <w:rFonts w:ascii="Arial" w:eastAsia="Times New Roman" w:hAnsi="Arial" w:cs="Arial"/>
          <w:b/>
          <w:sz w:val="32"/>
          <w:szCs w:val="32"/>
          <w:lang w:eastAsia="es-PY"/>
        </w:rPr>
      </w:pPr>
      <w:r w:rsidRPr="00A72D3E">
        <w:rPr>
          <w:rFonts w:ascii="Arial" w:eastAsia="Times New Roman" w:hAnsi="Arial" w:cs="Arial"/>
          <w:b/>
          <w:sz w:val="32"/>
          <w:szCs w:val="32"/>
          <w:lang w:eastAsia="es-PY"/>
        </w:rPr>
        <w:t>LUIS ANGARITA</w:t>
      </w:r>
    </w:p>
    <w:p w:rsidR="00844A5B" w:rsidRPr="0048796B" w:rsidRDefault="009C7AAB" w:rsidP="0048796B">
      <w:pPr>
        <w:shd w:val="clear" w:color="auto" w:fill="FFFFFF"/>
        <w:spacing w:after="0" w:line="240" w:lineRule="auto"/>
        <w:jc w:val="center"/>
        <w:textAlignment w:val="baseline"/>
        <w:rPr>
          <w:rFonts w:ascii="Arial" w:eastAsia="Times New Roman" w:hAnsi="Arial" w:cs="Arial"/>
          <w:b/>
          <w:sz w:val="36"/>
          <w:szCs w:val="36"/>
          <w:lang w:eastAsia="es-PY"/>
        </w:rPr>
      </w:pPr>
      <w:r w:rsidRPr="00A72D3E">
        <w:rPr>
          <w:rFonts w:ascii="Arial" w:eastAsia="Times New Roman" w:hAnsi="Arial" w:cs="Arial"/>
          <w:b/>
          <w:sz w:val="36"/>
          <w:szCs w:val="36"/>
          <w:lang w:eastAsia="es-PY"/>
        </w:rPr>
        <w:t>NOTAS INTERNACIONALES</w:t>
      </w:r>
      <w:r w:rsidR="00844A5B" w:rsidRPr="00C15B4B">
        <w:rPr>
          <w:rFonts w:ascii="Arial" w:eastAsia="Times New Roman" w:hAnsi="Arial" w:cs="Arial"/>
          <w:sz w:val="24"/>
          <w:szCs w:val="24"/>
          <w:lang w:eastAsia="es-PY"/>
        </w:rPr>
        <w:t>.</w:t>
      </w:r>
    </w:p>
    <w:p w:rsidR="00844A5B" w:rsidRPr="00A72D3E" w:rsidRDefault="009C7AAB" w:rsidP="00A72D3E">
      <w:pPr>
        <w:shd w:val="clear" w:color="auto" w:fill="FFFFFF"/>
        <w:spacing w:after="120" w:line="240" w:lineRule="auto"/>
        <w:jc w:val="center"/>
        <w:textAlignment w:val="baseline"/>
        <w:rPr>
          <w:rFonts w:ascii="Arial" w:eastAsia="Times New Roman" w:hAnsi="Arial" w:cs="Arial"/>
          <w:b/>
          <w:sz w:val="36"/>
          <w:szCs w:val="36"/>
          <w:lang w:eastAsia="es-PY"/>
        </w:rPr>
      </w:pPr>
      <w:r w:rsidRPr="00A72D3E">
        <w:rPr>
          <w:rFonts w:ascii="Arial" w:eastAsia="Times New Roman" w:hAnsi="Arial" w:cs="Arial"/>
          <w:b/>
          <w:sz w:val="36"/>
          <w:szCs w:val="36"/>
          <w:lang w:eastAsia="es-PY"/>
        </w:rPr>
        <w:t>LA OBSERVACIÓN ELECTORAL EN DISPUTA</w:t>
      </w:r>
    </w:p>
    <w:p w:rsidR="00844A5B" w:rsidRPr="00C15B4B"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A propósito de la visita del Presidente Maduro a las Naciones Unidas para solicitar los buenos oficios de esta organización ante la reclamación del Esequibo Guayanés, durante la rueda de prensa ofrecida por el mandatario venezolano fue interrogado acerca de la posibilidad de una observación internacional para las elecciones parlamentarias, lo cual generó la respuesta categórica de “no es ni será monitoreada por nadie”. Estas declaraciones se suman a la visita del líder opositor Henrique Capriles a la Organización de Estados Americanos para hacer una similar solicitud de observación electoral, generando reacciones por parte de voceros del gobierno en claro rechazo a esta posibilidad.</w:t>
      </w:r>
    </w:p>
    <w:sectPr w:rsidR="00844A5B" w:rsidRPr="00C15B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A5B"/>
    <w:rsid w:val="00080B46"/>
    <w:rsid w:val="000D2FEC"/>
    <w:rsid w:val="00291844"/>
    <w:rsid w:val="0048796B"/>
    <w:rsid w:val="004F5C98"/>
    <w:rsid w:val="00632AA4"/>
    <w:rsid w:val="00844A5B"/>
    <w:rsid w:val="009C7AAB"/>
    <w:rsid w:val="00A72D3E"/>
    <w:rsid w:val="00C15B4B"/>
    <w:rsid w:val="00DD08F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7925"/>
  <w15:docId w15:val="{F799C03E-527B-EB4D-86FF-699A515F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4A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3001">
      <w:bodyDiv w:val="1"/>
      <w:marLeft w:val="0"/>
      <w:marRight w:val="0"/>
      <w:marTop w:val="0"/>
      <w:marBottom w:val="0"/>
      <w:divBdr>
        <w:top w:val="none" w:sz="0" w:space="0" w:color="auto"/>
        <w:left w:val="none" w:sz="0" w:space="0" w:color="auto"/>
        <w:bottom w:val="none" w:sz="0" w:space="0" w:color="auto"/>
        <w:right w:val="none" w:sz="0" w:space="0" w:color="auto"/>
      </w:divBdr>
    </w:div>
    <w:div w:id="1238247778">
      <w:bodyDiv w:val="1"/>
      <w:marLeft w:val="0"/>
      <w:marRight w:val="0"/>
      <w:marTop w:val="0"/>
      <w:marBottom w:val="0"/>
      <w:divBdr>
        <w:top w:val="none" w:sz="0" w:space="0" w:color="auto"/>
        <w:left w:val="none" w:sz="0" w:space="0" w:color="auto"/>
        <w:bottom w:val="none" w:sz="0" w:space="0" w:color="auto"/>
        <w:right w:val="none" w:sz="0" w:space="0" w:color="auto"/>
      </w:divBdr>
      <w:divsChild>
        <w:div w:id="430131710">
          <w:marLeft w:val="0"/>
          <w:marRight w:val="0"/>
          <w:marTop w:val="0"/>
          <w:marBottom w:val="300"/>
          <w:divBdr>
            <w:top w:val="none" w:sz="0" w:space="0" w:color="auto"/>
            <w:left w:val="none" w:sz="0" w:space="0" w:color="auto"/>
            <w:bottom w:val="single" w:sz="6" w:space="0" w:color="D6D4D4"/>
            <w:right w:val="none" w:sz="0" w:space="0" w:color="auto"/>
          </w:divBdr>
          <w:divsChild>
            <w:div w:id="2102143213">
              <w:marLeft w:val="0"/>
              <w:marRight w:val="0"/>
              <w:marTop w:val="0"/>
              <w:marBottom w:val="0"/>
              <w:divBdr>
                <w:top w:val="none" w:sz="0" w:space="0" w:color="auto"/>
                <w:left w:val="none" w:sz="0" w:space="0" w:color="auto"/>
                <w:bottom w:val="none" w:sz="0" w:space="0" w:color="auto"/>
                <w:right w:val="none" w:sz="0" w:space="0" w:color="auto"/>
              </w:divBdr>
            </w:div>
          </w:divsChild>
        </w:div>
        <w:div w:id="693847507">
          <w:marLeft w:val="0"/>
          <w:marRight w:val="0"/>
          <w:marTop w:val="0"/>
          <w:marBottom w:val="300"/>
          <w:divBdr>
            <w:top w:val="none" w:sz="0" w:space="0" w:color="auto"/>
            <w:left w:val="none" w:sz="0" w:space="0" w:color="auto"/>
            <w:bottom w:val="single" w:sz="6" w:space="15"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Seny Hernández</dc:creator>
  <cp:lastModifiedBy>Estebani Zavla</cp:lastModifiedBy>
  <cp:revision>2</cp:revision>
  <dcterms:created xsi:type="dcterms:W3CDTF">2021-09-13T17:57:00Z</dcterms:created>
  <dcterms:modified xsi:type="dcterms:W3CDTF">2021-09-13T17:57:00Z</dcterms:modified>
</cp:coreProperties>
</file>