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8"/>
        <w:gridCol w:w="2296"/>
      </w:tblGrid>
      <w:tr w:rsidR="000133A3" w:rsidRPr="007D5158" w:rsidTr="000133A3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3A3" w:rsidRPr="007D5158" w:rsidRDefault="000133A3" w:rsidP="000133A3">
            <w:pPr>
              <w:jc w:val="right"/>
              <w:rPr>
                <w:sz w:val="24"/>
                <w:szCs w:val="24"/>
              </w:rPr>
            </w:pPr>
            <w:r w:rsidRPr="007D5158">
              <w:rPr>
                <w:rFonts w:ascii="Arial" w:hAnsi="Arial" w:cs="Arial"/>
                <w:b/>
                <w:sz w:val="24"/>
                <w:szCs w:val="24"/>
              </w:rPr>
              <w:t xml:space="preserve">Domingo </w:t>
            </w:r>
            <w:r w:rsidR="00620509">
              <w:rPr>
                <w:rFonts w:ascii="Arial" w:hAnsi="Arial" w:cs="Arial"/>
                <w:b/>
                <w:sz w:val="24"/>
                <w:szCs w:val="24"/>
              </w:rPr>
              <w:t xml:space="preserve">9 de diciembre </w:t>
            </w:r>
            <w:r w:rsidRPr="007D5158">
              <w:rPr>
                <w:rFonts w:ascii="Arial" w:hAnsi="Arial" w:cs="Arial"/>
                <w:b/>
                <w:sz w:val="24"/>
                <w:szCs w:val="24"/>
              </w:rPr>
              <w:t>de  2018</w:t>
            </w:r>
          </w:p>
          <w:p w:rsidR="000133A3" w:rsidRPr="007D5158" w:rsidRDefault="000133A3" w:rsidP="000133A3">
            <w:pPr>
              <w:jc w:val="center"/>
            </w:pPr>
          </w:p>
        </w:tc>
      </w:tr>
      <w:tr w:rsidR="000133A3" w:rsidRPr="007D5158" w:rsidTr="000133A3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0133A3" w:rsidRPr="007D5158" w:rsidRDefault="000133A3" w:rsidP="000133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3A3" w:rsidRPr="007D5158" w:rsidRDefault="000133A3" w:rsidP="000133A3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0133A3" w:rsidRPr="007D5158" w:rsidRDefault="000133A3" w:rsidP="000133A3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7D5158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LA VOZ INTERNACIONAL</w:t>
            </w:r>
          </w:p>
          <w:p w:rsidR="000133A3" w:rsidRPr="007D5158" w:rsidRDefault="000133A3" w:rsidP="0001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3A3" w:rsidRPr="007D5158" w:rsidRDefault="000133A3" w:rsidP="000133A3">
            <w:pPr>
              <w:jc w:val="center"/>
            </w:pPr>
            <w:r w:rsidRPr="007D5158">
              <w:rPr>
                <w:noProof/>
                <w:lang w:eastAsia="es-VE"/>
              </w:rPr>
              <w:drawing>
                <wp:inline distT="0" distB="0" distL="0" distR="0" wp14:anchorId="3937290E" wp14:editId="142ED22D">
                  <wp:extent cx="1078230" cy="1078230"/>
                  <wp:effectExtent l="0" t="0" r="7620" b="7620"/>
                  <wp:docPr id="1" name="Imagen 3" descr="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3" w:rsidRPr="007D5158" w:rsidTr="000133A3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0133A3" w:rsidRPr="007D5158" w:rsidRDefault="000133A3" w:rsidP="000133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3A3" w:rsidRDefault="000133A3" w:rsidP="00013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5158">
              <w:rPr>
                <w:rFonts w:ascii="Arial" w:hAnsi="Arial" w:cs="Arial"/>
                <w:sz w:val="24"/>
                <w:szCs w:val="24"/>
              </w:rPr>
              <w:t xml:space="preserve">Artículos escritos para </w:t>
            </w:r>
            <w:r w:rsidRPr="007D5158">
              <w:rPr>
                <w:rFonts w:ascii="Arial" w:hAnsi="Arial" w:cs="Arial"/>
                <w:b/>
                <w:sz w:val="24"/>
                <w:szCs w:val="24"/>
              </w:rPr>
              <w:t>La Voz</w:t>
            </w:r>
            <w:r w:rsidRPr="007D5158">
              <w:rPr>
                <w:rFonts w:ascii="Arial" w:hAnsi="Arial" w:cs="Arial"/>
                <w:sz w:val="24"/>
                <w:szCs w:val="24"/>
              </w:rPr>
              <w:t xml:space="preserve"> por los profesores de la </w:t>
            </w:r>
            <w:r w:rsidRPr="007D5158">
              <w:rPr>
                <w:rFonts w:ascii="Arial" w:hAnsi="Arial" w:cs="Arial"/>
                <w:b/>
                <w:sz w:val="24"/>
                <w:szCs w:val="24"/>
              </w:rPr>
              <w:t>Escuela de Estudios Internacionales (FACES-UCV)</w:t>
            </w:r>
            <w:r w:rsidRPr="007D5158">
              <w:rPr>
                <w:rFonts w:ascii="Arial" w:hAnsi="Arial" w:cs="Arial"/>
                <w:sz w:val="24"/>
                <w:szCs w:val="24"/>
              </w:rPr>
              <w:t>. La responsabilidad de las opiniones emitidas en sus artículos y Notas Internacionales es de los autores y no comprometen a la institución</w:t>
            </w:r>
            <w:r w:rsidRPr="007D515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133A3" w:rsidRDefault="000133A3" w:rsidP="00013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33A3" w:rsidRPr="007D5158" w:rsidRDefault="000133A3" w:rsidP="00013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3A3" w:rsidRPr="007D5158" w:rsidRDefault="000133A3" w:rsidP="000133A3"/>
        </w:tc>
      </w:tr>
    </w:tbl>
    <w:p w:rsidR="000133A3" w:rsidRDefault="000F5616" w:rsidP="000F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Arial" w:eastAsia="Times New Roman" w:hAnsi="Arial" w:cs="Arial"/>
          <w:b/>
          <w:color w:val="212121"/>
          <w:sz w:val="36"/>
          <w:szCs w:val="36"/>
          <w:lang w:val="es-ES" w:eastAsia="es-VE"/>
        </w:rPr>
      </w:pPr>
      <w:r w:rsidRPr="000133A3">
        <w:rPr>
          <w:rFonts w:ascii="Arial" w:eastAsia="Times New Roman" w:hAnsi="Arial" w:cs="Arial"/>
          <w:b/>
          <w:color w:val="212121"/>
          <w:sz w:val="32"/>
          <w:szCs w:val="32"/>
          <w:lang w:val="es-ES" w:eastAsia="es-VE"/>
        </w:rPr>
        <w:t xml:space="preserve">SENY </w:t>
      </w:r>
      <w:r>
        <w:rPr>
          <w:rFonts w:ascii="Arial" w:eastAsia="Times New Roman" w:hAnsi="Arial" w:cs="Arial"/>
          <w:b/>
          <w:color w:val="212121"/>
          <w:sz w:val="32"/>
          <w:szCs w:val="32"/>
          <w:lang w:val="es-ES" w:eastAsia="es-VE"/>
        </w:rPr>
        <w:t xml:space="preserve">MARÍA </w:t>
      </w:r>
      <w:r w:rsidRPr="000133A3">
        <w:rPr>
          <w:rFonts w:ascii="Arial" w:eastAsia="Times New Roman" w:hAnsi="Arial" w:cs="Arial"/>
          <w:b/>
          <w:color w:val="212121"/>
          <w:sz w:val="32"/>
          <w:szCs w:val="32"/>
          <w:lang w:val="es-ES" w:eastAsia="es-VE"/>
        </w:rPr>
        <w:t>HERNÁNDEZ LEDEZMA</w:t>
      </w:r>
    </w:p>
    <w:p w:rsidR="000133A3" w:rsidRPr="00C23276" w:rsidRDefault="000F5616" w:rsidP="000F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Arial" w:eastAsia="Times New Roman" w:hAnsi="Arial" w:cs="Arial"/>
          <w:b/>
          <w:color w:val="212121"/>
          <w:sz w:val="36"/>
          <w:szCs w:val="36"/>
          <w:lang w:val="es-ES" w:eastAsia="es-VE"/>
        </w:rPr>
      </w:pPr>
      <w:r w:rsidRPr="00C23276">
        <w:rPr>
          <w:rFonts w:ascii="Arial" w:eastAsia="Times New Roman" w:hAnsi="Arial" w:cs="Arial"/>
          <w:b/>
          <w:color w:val="212121"/>
          <w:sz w:val="36"/>
          <w:szCs w:val="36"/>
          <w:lang w:val="es-ES" w:eastAsia="es-VE"/>
        </w:rPr>
        <w:t>“LA GUERRA COMERCIAL”</w:t>
      </w:r>
      <w:bookmarkStart w:id="0" w:name="_GoBack"/>
      <w:bookmarkEnd w:id="0"/>
    </w:p>
    <w:p w:rsidR="001344D7" w:rsidRDefault="006A695D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VE"/>
        </w:rPr>
      </w:pP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La 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“g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uerra 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c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omercial” entre China y Estados Unidos se basa en la fijación y aumentos periódicos de aranceles a los productos procedentes de 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cada uno </w:t>
      </w:r>
      <w:r w:rsidR="004D56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estos 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 w:rsidR="002E32BD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Estados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. Este proceso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tiene efectos inflacionarios en la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s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economía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s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mundial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es de conformidad con las cadenas productivas que se va</w:t>
      </w:r>
      <w:r w:rsidR="004D56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n ejecutando.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</w:p>
    <w:p w:rsidR="000879C5" w:rsidRPr="00C23276" w:rsidRDefault="001344D7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VE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La fijación de esos </w:t>
      </w:r>
      <w:r w:rsidR="006A695D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aranceles 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toman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como puntos de referencias las </w:t>
      </w:r>
      <w:r w:rsidR="006A695D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investigaciones sistemática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s, las cuales </w:t>
      </w:r>
      <w:r w:rsidR="006A695D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expli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can </w:t>
      </w:r>
      <w:r w:rsidR="006A695D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las razones que los originan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.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 w:rsidR="006A695D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De conformidad con los resultados de esas investigaciones, China ha sido el ´país más perjudicado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comercialmente en Estados Unidos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aunque no el único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. Se calcula que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el 40% de las investigaciones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mencionadas,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financiadas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por el gobierno presidido por Donald</w:t>
      </w:r>
      <w:r w:rsidR="006A695D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Trump, han considerado como </w:t>
      </w:r>
      <w:r w:rsidR="002E32BD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variables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a los productos chinos. Otros países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que también han sido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seleccionados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en el desarrollo de estas investigaciones son </w:t>
      </w:r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Canadá, </w:t>
      </w:r>
      <w:proofErr w:type="spellStart"/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Taiwan</w:t>
      </w:r>
      <w:proofErr w:type="spellEnd"/>
      <w:r w:rsidR="000879C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, Brasil, India, Italia, Turquía, Vietnam, Tailandia y Corea del Sur.</w:t>
      </w:r>
    </w:p>
    <w:p w:rsidR="002E32BD" w:rsidRDefault="000879C5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VE"/>
        </w:rPr>
      </w:pP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La 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razón por la cual se fijan 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estos impuestos, obedece a la promoción y defensa de las economías y de los productores nacionales, de tal manera que sin la determinación de los mismos, los productos procedentes de otras latitudes resultarían más baratos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,</w:t>
      </w:r>
      <w:r w:rsidR="001344D7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perjudicando el comercio de productos semejantes elaborados internamente. </w:t>
      </w:r>
    </w:p>
    <w:p w:rsidR="006D754D" w:rsidRPr="00C23276" w:rsidRDefault="006A695D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C23276">
        <w:rPr>
          <w:rFonts w:ascii="Arial" w:hAnsi="Arial" w:cs="Arial"/>
          <w:color w:val="404040"/>
          <w:sz w:val="24"/>
          <w:szCs w:val="24"/>
        </w:rPr>
        <w:t>B</w:t>
      </w:r>
      <w:r w:rsidR="006D754D" w:rsidRPr="00C23276">
        <w:rPr>
          <w:rFonts w:ascii="Arial" w:hAnsi="Arial" w:cs="Arial"/>
          <w:color w:val="404040"/>
          <w:sz w:val="24"/>
          <w:szCs w:val="24"/>
        </w:rPr>
        <w:t>ajo las leyes de</w:t>
      </w:r>
      <w:r w:rsidR="001344D7">
        <w:rPr>
          <w:rFonts w:ascii="Arial" w:hAnsi="Arial" w:cs="Arial"/>
          <w:color w:val="404040"/>
          <w:sz w:val="24"/>
          <w:szCs w:val="24"/>
        </w:rPr>
        <w:t>l</w:t>
      </w:r>
      <w:r w:rsidR="006D754D" w:rsidRPr="00C23276">
        <w:rPr>
          <w:rFonts w:ascii="Arial" w:hAnsi="Arial" w:cs="Arial"/>
          <w:color w:val="404040"/>
          <w:sz w:val="24"/>
          <w:szCs w:val="24"/>
        </w:rPr>
        <w:t xml:space="preserve"> comercio internacional, EE.UU. no puede implementar</w:t>
      </w:r>
      <w:r w:rsidR="005717F5" w:rsidRPr="00C23276">
        <w:rPr>
          <w:rFonts w:ascii="Arial" w:hAnsi="Arial" w:cs="Arial"/>
          <w:color w:val="404040"/>
          <w:sz w:val="24"/>
          <w:szCs w:val="24"/>
        </w:rPr>
        <w:t xml:space="preserve"> a la fuerza el aumento de los impuestos a distintos productos, sino que los aumentos de los aranceles deben basarse en razones muy bien fundamentadas, por lo que las investigaciones que se realizan </w:t>
      </w:r>
      <w:r w:rsidR="00443FB6">
        <w:rPr>
          <w:rFonts w:ascii="Arial" w:hAnsi="Arial" w:cs="Arial"/>
          <w:color w:val="404040"/>
          <w:sz w:val="24"/>
          <w:szCs w:val="24"/>
        </w:rPr>
        <w:t xml:space="preserve">persiguen </w:t>
      </w:r>
      <w:r w:rsidR="00E326DA" w:rsidRPr="00C23276">
        <w:rPr>
          <w:rFonts w:ascii="Arial" w:hAnsi="Arial" w:cs="Arial"/>
          <w:color w:val="404040"/>
          <w:sz w:val="24"/>
          <w:szCs w:val="24"/>
        </w:rPr>
        <w:t>alcanzar ese propósito.</w:t>
      </w:r>
      <w:r w:rsidR="005717F5" w:rsidRPr="00C23276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E326DA" w:rsidRPr="00C23276" w:rsidRDefault="003C1172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VE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La situación fue de tal manera agravándose, que a</w:t>
      </w:r>
      <w:r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mediados del año 2018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China acusó a Estados Unidos de iniciar la "mayor guerra comercial en la historia económica"</w:t>
      </w:r>
      <w:r w:rsidR="005717F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, 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cuando se comenzaron a aplicar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aranceles sobre cientos de productos chinos por valor de US$34.000 millones anuales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. Desde ese entonces, 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lastRenderedPageBreak/>
        <w:t xml:space="preserve">el Gobierno Chino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tomó</w:t>
      </w:r>
      <w:r w:rsidR="005717F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a su vez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medidas de represalia</w:t>
      </w:r>
      <w:r w:rsidR="002E32BD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imponiendo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la ley del talión con 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su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“ojo por ojo y diente por diente”.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</w:p>
    <w:p w:rsidR="0012703A" w:rsidRPr="00C23276" w:rsidRDefault="003C1172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VE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En general, l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os productos chinos cuyos precios se incrementa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ron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por esta vía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en Estados Unidos 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fueron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de carácter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tecnológico como chips semiconductores, ensamblados en China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, los cuales se utilizan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para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la fabricación de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televisores, computadoras, celulares y vehículos.</w:t>
      </w:r>
      <w:r w:rsidR="005717F5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Otros productos que tuvieron el mismo tratamiento son elaborados con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plásticos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, sin descartar los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reactores nucleares.</w:t>
      </w:r>
    </w:p>
    <w:p w:rsidR="00A07E7C" w:rsidRDefault="00A07E7C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VE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La mayoría de los 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productos de Estados Unidos cuyos precios han sido aumentados a través de l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a fijación de</w:t>
      </w:r>
      <w:r w:rsidR="00443FB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aranceles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  <w:r w:rsidR="00E326D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por el Gobierno chino </w:t>
      </w:r>
      <w:r w:rsidR="003C1172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pertenecen a </w:t>
      </w:r>
      <w:r w:rsidR="00C23276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l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a industria agrícola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; </w:t>
      </w:r>
      <w:r w:rsidR="003C1172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a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lrededor del 91% de 545 productos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y también al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sector automovilístico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como los automóviles fabricados por </w:t>
      </w:r>
      <w:r w:rsidR="0012703A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Tesla y Chrysler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que son enviados a</w:t>
      </w:r>
      <w:r w:rsidR="002E32BD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ese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país.</w:t>
      </w:r>
    </w:p>
    <w:p w:rsidR="002E32BD" w:rsidRDefault="00A07E7C" w:rsidP="000F5616">
      <w:pPr>
        <w:shd w:val="clear" w:color="auto" w:fill="FFFFFF"/>
        <w:spacing w:after="120" w:line="240" w:lineRule="auto"/>
        <w:jc w:val="both"/>
        <w:textAlignment w:val="baseline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>La pelea ha sido tan dura que l</w:t>
      </w:r>
      <w:r w:rsidR="00C61929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os grupos de lobby en Estados Unidos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han estado presionando al Presidente Trump </w:t>
      </w:r>
      <w:r w:rsidR="00C61929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para que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deje a un lado los ataques comerciales a </w:t>
      </w:r>
      <w:r w:rsidR="00C61929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China, 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dadas las relaciones que se establecen entre </w:t>
      </w:r>
      <w:r w:rsidR="00C61929" w:rsidRPr="00C23276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tarifas más altas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y costos de producción para el empresariado</w:t>
      </w:r>
      <w:r w:rsidR="002E32BD">
        <w:rPr>
          <w:rFonts w:ascii="Arial" w:eastAsia="Times New Roman" w:hAnsi="Arial" w:cs="Arial"/>
          <w:color w:val="404040"/>
          <w:sz w:val="24"/>
          <w:szCs w:val="24"/>
          <w:lang w:eastAsia="es-VE"/>
        </w:rPr>
        <w:t>.</w:t>
      </w:r>
      <w:r>
        <w:rPr>
          <w:rFonts w:ascii="Arial" w:eastAsia="Times New Roman" w:hAnsi="Arial" w:cs="Arial"/>
          <w:color w:val="404040"/>
          <w:sz w:val="24"/>
          <w:szCs w:val="24"/>
          <w:lang w:eastAsia="es-VE"/>
        </w:rPr>
        <w:t xml:space="preserve"> </w:t>
      </w:r>
    </w:p>
    <w:p w:rsidR="004D4CD6" w:rsidRPr="004D4CD6" w:rsidRDefault="00443FB6" w:rsidP="000F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val="es-ES" w:eastAsia="es-VE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L</w:t>
      </w:r>
      <w:r w:rsidR="00A07E7C">
        <w:rPr>
          <w:rFonts w:ascii="Arial" w:hAnsi="Arial" w:cs="Arial"/>
          <w:color w:val="404040"/>
          <w:sz w:val="24"/>
          <w:szCs w:val="24"/>
          <w:shd w:val="clear" w:color="auto" w:fill="FFFFFF"/>
        </w:rPr>
        <w:t>as presiones de</w:t>
      </w:r>
      <w:r w:rsidR="004D56B6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l lobby han dado sus frutos recientemente cuando los </w:t>
      </w:r>
      <w:r w:rsidR="00C23276" w:rsidRPr="00C23276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presidentes Trump y Xi </w:t>
      </w:r>
      <w:r w:rsidR="004D56B6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acordaron </w:t>
      </w:r>
      <w:r w:rsidR="00C23276" w:rsidRPr="004D56B6">
        <w:rPr>
          <w:rStyle w:val="Textoennegrita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>no imponer nuevas tarifas después del 1 de enero</w:t>
      </w:r>
      <w:r>
        <w:rPr>
          <w:rStyle w:val="Textoennegrita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 de 2019, desarrollándose </w:t>
      </w:r>
      <w:r w:rsidR="004D56B6">
        <w:rPr>
          <w:rStyle w:val="Textoennegrita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una tregua en la guerra entre ambas potencias. Es un buen regalo de año nuevo que los </w:t>
      </w:r>
      <w:r>
        <w:rPr>
          <w:rStyle w:val="Textoennegrita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empresarios y </w:t>
      </w:r>
      <w:r w:rsidR="004D56B6">
        <w:rPr>
          <w:rStyle w:val="Textoennegrita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consumidores sabrán agradecer. </w:t>
      </w:r>
    </w:p>
    <w:p w:rsidR="0007758C" w:rsidRPr="000133A3" w:rsidRDefault="0007758C" w:rsidP="000F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Arial" w:eastAsia="Times New Roman" w:hAnsi="Arial" w:cs="Arial"/>
          <w:b/>
          <w:color w:val="212121"/>
          <w:sz w:val="36"/>
          <w:szCs w:val="36"/>
          <w:lang w:val="es-ES" w:eastAsia="es-VE"/>
        </w:rPr>
      </w:pPr>
      <w:r w:rsidRPr="000133A3">
        <w:rPr>
          <w:rFonts w:ascii="Arial" w:eastAsia="Times New Roman" w:hAnsi="Arial" w:cs="Arial"/>
          <w:b/>
          <w:color w:val="212121"/>
          <w:sz w:val="36"/>
          <w:szCs w:val="36"/>
          <w:lang w:val="es-ES" w:eastAsia="es-VE"/>
        </w:rPr>
        <w:t xml:space="preserve">Reunión de la OPEP </w:t>
      </w:r>
    </w:p>
    <w:p w:rsidR="000F5616" w:rsidRDefault="006064D1" w:rsidP="000F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Recientemente se celebró en la capital austríaca la 5ª Reunión Ministerial de la OPEP y no OPEP, en la cual se enfatizó la continuidad de la cooperación entre todos los países miembros, excepto  Qatar cuya representación gubernamental  </w:t>
      </w:r>
      <w:r w:rsidR="00044DC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informó que habían decidido </w:t>
      </w:r>
      <w:r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salir de la organización</w:t>
      </w:r>
      <w:r w:rsidR="00044DC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.</w:t>
      </w:r>
      <w:r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  </w:t>
      </w:r>
    </w:p>
    <w:p w:rsidR="0007758C" w:rsidRDefault="00044DCC" w:rsidP="000F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L</w:t>
      </w:r>
      <w:r w:rsidR="006064D1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a reunión estuvo presidida por el Ministro de Energía e Industria de los Emiratos Árabes Unidos</w:t>
      </w:r>
      <w:r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,</w:t>
      </w:r>
      <w:r w:rsidR="004F45BB" w:rsidRPr="004F45BB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 </w:t>
      </w:r>
      <w:proofErr w:type="spellStart"/>
      <w:r w:rsidR="004F45BB" w:rsidRPr="0007758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Suhail</w:t>
      </w:r>
      <w:proofErr w:type="spellEnd"/>
      <w:r w:rsidR="004F45BB" w:rsidRPr="0007758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 Mohamed Al </w:t>
      </w:r>
      <w:proofErr w:type="spellStart"/>
      <w:r w:rsidR="004F45BB" w:rsidRPr="0007758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Mazrouei</w:t>
      </w:r>
      <w:proofErr w:type="spellEnd"/>
      <w:r w:rsidR="004F45BB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 y el Ministro de Energía de la Federación Rusa</w:t>
      </w:r>
      <w:r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,</w:t>
      </w:r>
      <w:r w:rsidR="004F45BB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 </w:t>
      </w:r>
      <w:r w:rsidR="004F45BB" w:rsidRPr="0007758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Alexander </w:t>
      </w:r>
      <w:proofErr w:type="spellStart"/>
      <w:r w:rsidR="004F45BB" w:rsidRPr="0007758C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Novak</w:t>
      </w:r>
      <w:proofErr w:type="spellEnd"/>
      <w:r w:rsidR="004F45BB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>.</w:t>
      </w:r>
      <w:r w:rsidR="006064D1">
        <w:rPr>
          <w:rFonts w:ascii="Arial" w:eastAsia="Times New Roman" w:hAnsi="Arial" w:cs="Arial"/>
          <w:color w:val="212121"/>
          <w:sz w:val="24"/>
          <w:szCs w:val="24"/>
          <w:lang w:val="es-ES" w:eastAsia="es-VE"/>
        </w:rPr>
        <w:t xml:space="preserve">  . </w:t>
      </w:r>
    </w:p>
    <w:p w:rsidR="004F45BB" w:rsidRDefault="004F45BB" w:rsidP="000F5616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044DCC">
        <w:rPr>
          <w:rFonts w:ascii="Arial" w:hAnsi="Arial" w:cs="Arial"/>
          <w:color w:val="404040"/>
        </w:rPr>
        <w:t>Los ministros de energía aprobaron</w:t>
      </w:r>
      <w:r w:rsidR="006A695D">
        <w:rPr>
          <w:rFonts w:ascii="Arial" w:hAnsi="Arial" w:cs="Arial"/>
          <w:color w:val="404040"/>
        </w:rPr>
        <w:t xml:space="preserve"> inicialmente</w:t>
      </w:r>
      <w:r w:rsidRPr="00044DCC">
        <w:rPr>
          <w:rFonts w:ascii="Arial" w:hAnsi="Arial" w:cs="Arial"/>
          <w:color w:val="404040"/>
        </w:rPr>
        <w:t xml:space="preserve"> un recorte en la producción de</w:t>
      </w:r>
      <w:r w:rsidR="00F3083B">
        <w:rPr>
          <w:rFonts w:ascii="Arial" w:hAnsi="Arial" w:cs="Arial"/>
          <w:color w:val="404040"/>
        </w:rPr>
        <w:t>l</w:t>
      </w:r>
      <w:r w:rsidRPr="00044DCC">
        <w:rPr>
          <w:rFonts w:ascii="Arial" w:hAnsi="Arial" w:cs="Arial"/>
          <w:color w:val="404040"/>
        </w:rPr>
        <w:t xml:space="preserve"> crudo de 1,2 millones de barriles diarios </w:t>
      </w:r>
      <w:r w:rsidR="00044DCC" w:rsidRPr="00044DCC">
        <w:rPr>
          <w:rFonts w:ascii="Arial" w:hAnsi="Arial" w:cs="Arial"/>
          <w:color w:val="404040"/>
        </w:rPr>
        <w:t xml:space="preserve">durante seis meses </w:t>
      </w:r>
      <w:r w:rsidRPr="00044DCC">
        <w:rPr>
          <w:rFonts w:ascii="Arial" w:hAnsi="Arial" w:cs="Arial"/>
          <w:color w:val="404040"/>
        </w:rPr>
        <w:t>a partir del 1 de enero de 2019</w:t>
      </w:r>
      <w:r w:rsidR="00F3083B">
        <w:rPr>
          <w:rFonts w:ascii="Arial" w:hAnsi="Arial" w:cs="Arial"/>
          <w:color w:val="404040"/>
        </w:rPr>
        <w:t>,</w:t>
      </w:r>
      <w:r w:rsidR="00044DCC" w:rsidRPr="00044DCC">
        <w:rPr>
          <w:rFonts w:ascii="Arial" w:hAnsi="Arial" w:cs="Arial"/>
          <w:color w:val="404040"/>
        </w:rPr>
        <w:t xml:space="preserve"> con la finalidad de impulsar el aumento de los precios</w:t>
      </w:r>
      <w:r w:rsidR="00F3083B">
        <w:rPr>
          <w:rFonts w:ascii="Arial" w:hAnsi="Arial" w:cs="Arial"/>
          <w:color w:val="404040"/>
        </w:rPr>
        <w:t>.</w:t>
      </w:r>
      <w:r w:rsidRPr="00044DCC">
        <w:rPr>
          <w:rFonts w:ascii="Arial" w:hAnsi="Arial" w:cs="Arial"/>
          <w:color w:val="404040"/>
        </w:rPr>
        <w:t xml:space="preserve"> Esta decisión se dejó sentir inmediatamente en los mercados </w:t>
      </w:r>
      <w:r w:rsidR="00F3083B">
        <w:rPr>
          <w:rFonts w:ascii="Arial" w:hAnsi="Arial" w:cs="Arial"/>
          <w:color w:val="404040"/>
        </w:rPr>
        <w:t xml:space="preserve">con el </w:t>
      </w:r>
      <w:r w:rsidRPr="00044DCC">
        <w:rPr>
          <w:rFonts w:ascii="Arial" w:hAnsi="Arial" w:cs="Arial"/>
          <w:color w:val="404040"/>
        </w:rPr>
        <w:t>aume</w:t>
      </w:r>
      <w:r w:rsidR="00F3083B">
        <w:rPr>
          <w:rFonts w:ascii="Arial" w:hAnsi="Arial" w:cs="Arial"/>
          <w:color w:val="404040"/>
        </w:rPr>
        <w:t>n</w:t>
      </w:r>
      <w:r w:rsidRPr="00044DCC">
        <w:rPr>
          <w:rFonts w:ascii="Arial" w:hAnsi="Arial" w:cs="Arial"/>
          <w:color w:val="404040"/>
        </w:rPr>
        <w:t>to del 5% del precio del crudo. Solamente</w:t>
      </w:r>
      <w:r w:rsidR="00044DCC" w:rsidRPr="00044DCC">
        <w:rPr>
          <w:rFonts w:ascii="Arial" w:hAnsi="Arial" w:cs="Arial"/>
          <w:color w:val="404040"/>
        </w:rPr>
        <w:t xml:space="preserve"> quedaron exentos del acuerdo</w:t>
      </w:r>
      <w:r w:rsidRPr="00044DCC">
        <w:rPr>
          <w:rFonts w:ascii="Arial" w:hAnsi="Arial" w:cs="Arial"/>
          <w:color w:val="404040"/>
        </w:rPr>
        <w:t xml:space="preserve"> Irán, Venezuela y Libia según el contenido del acuerdo petrolero</w:t>
      </w:r>
      <w:r w:rsidR="00F3083B">
        <w:rPr>
          <w:rFonts w:ascii="Arial" w:hAnsi="Arial" w:cs="Arial"/>
          <w:color w:val="404040"/>
        </w:rPr>
        <w:t xml:space="preserve"> firmado</w:t>
      </w:r>
      <w:r w:rsidR="00044DCC" w:rsidRPr="00044DCC">
        <w:rPr>
          <w:rFonts w:ascii="Arial" w:hAnsi="Arial" w:cs="Arial"/>
          <w:color w:val="404040"/>
        </w:rPr>
        <w:t xml:space="preserve">; el primer país, </w:t>
      </w:r>
      <w:r w:rsidR="00044DCC" w:rsidRPr="00044DCC">
        <w:rPr>
          <w:rFonts w:ascii="Arial" w:hAnsi="Arial" w:cs="Arial"/>
          <w:color w:val="333333"/>
          <w:shd w:val="clear" w:color="auto" w:fill="FFFFFF"/>
        </w:rPr>
        <w:t xml:space="preserve">por el peso de las sanciones estadounidenses en su economía y los otros dos porque  tienen problemas para mantener </w:t>
      </w:r>
      <w:r w:rsidR="00F3083B">
        <w:rPr>
          <w:rFonts w:ascii="Arial" w:hAnsi="Arial" w:cs="Arial"/>
          <w:color w:val="333333"/>
          <w:shd w:val="clear" w:color="auto" w:fill="FFFFFF"/>
        </w:rPr>
        <w:t>los</w:t>
      </w:r>
      <w:r w:rsidR="00044DCC" w:rsidRPr="00044DCC">
        <w:rPr>
          <w:rFonts w:ascii="Arial" w:hAnsi="Arial" w:cs="Arial"/>
          <w:color w:val="333333"/>
          <w:shd w:val="clear" w:color="auto" w:fill="FFFFFF"/>
        </w:rPr>
        <w:t xml:space="preserve"> niveles diarios de producción. </w:t>
      </w:r>
    </w:p>
    <w:p w:rsidR="00F3083B" w:rsidRPr="00044DCC" w:rsidRDefault="00F3083B" w:rsidP="004F45BB">
      <w:pPr>
        <w:pStyle w:val="NormalWeb"/>
        <w:shd w:val="clear" w:color="auto" w:fill="FFFFFF"/>
        <w:spacing w:before="27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4F45BB" w:rsidRPr="004F45BB" w:rsidRDefault="004F45BB" w:rsidP="004F45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VE"/>
        </w:rPr>
      </w:pPr>
    </w:p>
    <w:p w:rsidR="006064D1" w:rsidRDefault="006064D1" w:rsidP="004F45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highlight w:val="yellow"/>
          <w:lang w:val="es-ES" w:eastAsia="es-VE"/>
        </w:rPr>
      </w:pPr>
    </w:p>
    <w:p w:rsidR="006064D1" w:rsidRDefault="006064D1" w:rsidP="004F45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highlight w:val="yellow"/>
          <w:lang w:val="es-ES" w:eastAsia="es-VE"/>
        </w:rPr>
      </w:pPr>
    </w:p>
    <w:sectPr w:rsidR="00606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51F3"/>
    <w:multiLevelType w:val="multilevel"/>
    <w:tmpl w:val="4D4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8C"/>
    <w:rsid w:val="000133A3"/>
    <w:rsid w:val="00044DCC"/>
    <w:rsid w:val="0007758C"/>
    <w:rsid w:val="000879C5"/>
    <w:rsid w:val="000B3AF7"/>
    <w:rsid w:val="000D1953"/>
    <w:rsid w:val="000F5616"/>
    <w:rsid w:val="0012703A"/>
    <w:rsid w:val="001344D7"/>
    <w:rsid w:val="002E32BD"/>
    <w:rsid w:val="003C1172"/>
    <w:rsid w:val="00443FB6"/>
    <w:rsid w:val="004D4CD6"/>
    <w:rsid w:val="004D56B6"/>
    <w:rsid w:val="004F45BB"/>
    <w:rsid w:val="005717F5"/>
    <w:rsid w:val="006064D1"/>
    <w:rsid w:val="00620509"/>
    <w:rsid w:val="006A695D"/>
    <w:rsid w:val="006D754D"/>
    <w:rsid w:val="00A07E7C"/>
    <w:rsid w:val="00C23276"/>
    <w:rsid w:val="00C61929"/>
    <w:rsid w:val="00D23C97"/>
    <w:rsid w:val="00E326DA"/>
    <w:rsid w:val="00F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0133A3"/>
    <w:rPr>
      <w:b/>
      <w:bCs/>
    </w:rPr>
  </w:style>
  <w:style w:type="table" w:styleId="Tablaconcuadrcula">
    <w:name w:val="Table Grid"/>
    <w:basedOn w:val="Tablanormal"/>
    <w:uiPriority w:val="59"/>
    <w:rsid w:val="00013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0133A3"/>
    <w:rPr>
      <w:b/>
      <w:bCs/>
    </w:rPr>
  </w:style>
  <w:style w:type="table" w:styleId="Tablaconcuadrcula">
    <w:name w:val="Table Grid"/>
    <w:basedOn w:val="Tablanormal"/>
    <w:uiPriority w:val="59"/>
    <w:rsid w:val="00013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2021-06-09T08:41:00Z</dcterms:created>
  <dcterms:modified xsi:type="dcterms:W3CDTF">2021-06-09T08:41:00Z</dcterms:modified>
</cp:coreProperties>
</file>