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8"/>
        <w:gridCol w:w="2296"/>
      </w:tblGrid>
      <w:tr w:rsidR="00047491" w:rsidRPr="00047491" w:rsidTr="00CA4BD1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491" w:rsidRPr="00047491" w:rsidRDefault="00047491" w:rsidP="00047491">
            <w:pPr>
              <w:jc w:val="right"/>
              <w:rPr>
                <w:sz w:val="24"/>
                <w:szCs w:val="24"/>
                <w:lang w:val="es-VE"/>
              </w:rPr>
            </w:pPr>
            <w:r w:rsidRPr="00047491">
              <w:rPr>
                <w:rFonts w:ascii="Arial" w:hAnsi="Arial" w:cs="Arial"/>
                <w:b/>
                <w:sz w:val="24"/>
                <w:szCs w:val="24"/>
                <w:lang w:val="es-VE"/>
              </w:rPr>
              <w:t xml:space="preserve">Domingo </w:t>
            </w:r>
            <w:r w:rsidR="001031B4">
              <w:rPr>
                <w:rFonts w:ascii="Arial" w:hAnsi="Arial" w:cs="Arial"/>
                <w:b/>
                <w:sz w:val="24"/>
                <w:szCs w:val="24"/>
                <w:lang w:val="es-VE"/>
              </w:rPr>
              <w:t>8</w:t>
            </w:r>
            <w:r w:rsidRPr="00047491">
              <w:rPr>
                <w:rFonts w:ascii="Arial" w:hAnsi="Arial" w:cs="Arial"/>
                <w:b/>
                <w:sz w:val="24"/>
                <w:szCs w:val="24"/>
                <w:lang w:val="es-VE"/>
              </w:rPr>
              <w:t xml:space="preserve"> de </w:t>
            </w:r>
            <w:r w:rsidR="001031B4">
              <w:rPr>
                <w:rFonts w:ascii="Arial" w:hAnsi="Arial" w:cs="Arial"/>
                <w:b/>
                <w:sz w:val="24"/>
                <w:szCs w:val="24"/>
                <w:lang w:val="es-VE"/>
              </w:rPr>
              <w:t>abril</w:t>
            </w:r>
            <w:r w:rsidRPr="00047491">
              <w:rPr>
                <w:rFonts w:ascii="Arial" w:hAnsi="Arial" w:cs="Arial"/>
                <w:b/>
                <w:sz w:val="24"/>
                <w:szCs w:val="24"/>
                <w:lang w:val="es-VE"/>
              </w:rPr>
              <w:t xml:space="preserve"> de  2018</w:t>
            </w:r>
          </w:p>
          <w:p w:rsidR="00047491" w:rsidRPr="00047491" w:rsidRDefault="00047491" w:rsidP="00047491">
            <w:pPr>
              <w:jc w:val="center"/>
              <w:rPr>
                <w:lang w:val="es-VE"/>
              </w:rPr>
            </w:pPr>
          </w:p>
        </w:tc>
      </w:tr>
      <w:tr w:rsidR="00047491" w:rsidRPr="00047491" w:rsidTr="00CA4BD1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047491" w:rsidRPr="00047491" w:rsidRDefault="00047491" w:rsidP="00047491">
            <w:pPr>
              <w:jc w:val="right"/>
              <w:rPr>
                <w:rFonts w:ascii="Arial" w:hAnsi="Arial" w:cs="Arial"/>
                <w:b/>
                <w:lang w:val="es-VE"/>
              </w:rPr>
            </w:pPr>
          </w:p>
          <w:p w:rsidR="00047491" w:rsidRPr="00047491" w:rsidRDefault="00047491" w:rsidP="00047491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lang w:val="es-VE"/>
              </w:rPr>
            </w:pPr>
          </w:p>
          <w:p w:rsidR="00047491" w:rsidRPr="00047491" w:rsidRDefault="00047491" w:rsidP="00047491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  <w:lang w:val="es-VE"/>
              </w:rPr>
            </w:pPr>
            <w:r w:rsidRPr="00047491">
              <w:rPr>
                <w:rFonts w:ascii="Arial" w:hAnsi="Arial" w:cs="Arial"/>
                <w:b/>
                <w:i/>
                <w:sz w:val="32"/>
                <w:szCs w:val="32"/>
                <w:u w:val="single"/>
                <w:lang w:val="es-VE"/>
              </w:rPr>
              <w:t>LA VOZ INTERNACIONAL</w:t>
            </w:r>
          </w:p>
          <w:p w:rsidR="00047491" w:rsidRPr="00047491" w:rsidRDefault="00047491" w:rsidP="00047491">
            <w:pPr>
              <w:jc w:val="center"/>
              <w:rPr>
                <w:rFonts w:ascii="Arial" w:hAnsi="Arial" w:cs="Arial"/>
                <w:b/>
                <w:lang w:val="es-V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491" w:rsidRPr="00047491" w:rsidRDefault="00047491" w:rsidP="00047491">
            <w:pPr>
              <w:jc w:val="center"/>
              <w:rPr>
                <w:lang w:val="es-VE"/>
              </w:rPr>
            </w:pPr>
            <w:r w:rsidRPr="00047491">
              <w:rPr>
                <w:noProof/>
                <w:lang w:eastAsia="es-VE"/>
              </w:rPr>
              <w:drawing>
                <wp:inline distT="0" distB="0" distL="0" distR="0" wp14:anchorId="4B384C20" wp14:editId="49CD4EF3">
                  <wp:extent cx="1076325" cy="1076325"/>
                  <wp:effectExtent l="0" t="0" r="9525" b="9525"/>
                  <wp:docPr id="5" name="Imagen 3" descr="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91" w:rsidRPr="00047491" w:rsidTr="00CA4BD1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047491" w:rsidRPr="00047491" w:rsidRDefault="00047491" w:rsidP="00047491">
            <w:pPr>
              <w:jc w:val="both"/>
              <w:rPr>
                <w:rFonts w:ascii="Arial" w:hAnsi="Arial" w:cs="Arial"/>
                <w:b/>
                <w:lang w:val="es-VE"/>
              </w:rPr>
            </w:pPr>
          </w:p>
          <w:p w:rsidR="00047491" w:rsidRPr="00047491" w:rsidRDefault="00047491" w:rsidP="000474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47491">
              <w:rPr>
                <w:rFonts w:ascii="Arial" w:hAnsi="Arial" w:cs="Arial"/>
                <w:sz w:val="24"/>
                <w:szCs w:val="24"/>
                <w:lang w:val="es-VE"/>
              </w:rPr>
              <w:t xml:space="preserve">Artículos escritos para </w:t>
            </w:r>
            <w:r w:rsidRPr="00047491">
              <w:rPr>
                <w:rFonts w:ascii="Arial" w:hAnsi="Arial" w:cs="Arial"/>
                <w:b/>
                <w:sz w:val="24"/>
                <w:szCs w:val="24"/>
                <w:lang w:val="es-VE"/>
              </w:rPr>
              <w:t>La Voz</w:t>
            </w:r>
            <w:r w:rsidRPr="00047491">
              <w:rPr>
                <w:rFonts w:ascii="Arial" w:hAnsi="Arial" w:cs="Arial"/>
                <w:sz w:val="24"/>
                <w:szCs w:val="24"/>
                <w:lang w:val="es-VE"/>
              </w:rPr>
              <w:t xml:space="preserve"> por los profesores de la </w:t>
            </w:r>
            <w:r w:rsidRPr="00047491">
              <w:rPr>
                <w:rFonts w:ascii="Arial" w:hAnsi="Arial" w:cs="Arial"/>
                <w:b/>
                <w:sz w:val="24"/>
                <w:szCs w:val="24"/>
                <w:lang w:val="es-VE"/>
              </w:rPr>
              <w:t>Escuela de Estudios Internacionales (FACES-UCV)</w:t>
            </w:r>
            <w:r w:rsidRPr="00047491">
              <w:rPr>
                <w:rFonts w:ascii="Arial" w:hAnsi="Arial" w:cs="Arial"/>
                <w:sz w:val="24"/>
                <w:szCs w:val="24"/>
                <w:lang w:val="es-VE"/>
              </w:rPr>
              <w:t>. La responsabilidad de las opiniones emitidas en sus artículos y Notas Internacionales es de los autores y no comprometen a la institución</w:t>
            </w:r>
            <w:r w:rsidRPr="00047491">
              <w:rPr>
                <w:rFonts w:ascii="Arial" w:hAnsi="Arial" w:cs="Arial"/>
                <w:b/>
                <w:sz w:val="24"/>
                <w:szCs w:val="24"/>
                <w:lang w:val="es-VE"/>
              </w:rPr>
              <w:t>.</w:t>
            </w:r>
          </w:p>
          <w:p w:rsidR="00047491" w:rsidRPr="00047491" w:rsidRDefault="00047491" w:rsidP="00047491">
            <w:pPr>
              <w:jc w:val="both"/>
              <w:rPr>
                <w:sz w:val="24"/>
                <w:szCs w:val="24"/>
                <w:lang w:val="es-VE"/>
              </w:rPr>
            </w:pPr>
          </w:p>
          <w:p w:rsidR="00047491" w:rsidRPr="00047491" w:rsidRDefault="00047491" w:rsidP="00047491">
            <w:pPr>
              <w:jc w:val="both"/>
              <w:rPr>
                <w:sz w:val="24"/>
                <w:szCs w:val="24"/>
                <w:lang w:val="es-V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491" w:rsidRPr="00047491" w:rsidRDefault="00047491" w:rsidP="00047491">
            <w:pPr>
              <w:rPr>
                <w:lang w:val="es-VE"/>
              </w:rPr>
            </w:pPr>
          </w:p>
        </w:tc>
      </w:tr>
    </w:tbl>
    <w:p w:rsidR="00995B31" w:rsidRPr="00A0674A" w:rsidRDefault="00995B31" w:rsidP="00995B3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val="es-PY"/>
        </w:rPr>
      </w:pPr>
      <w:r w:rsidRPr="00A0674A">
        <w:rPr>
          <w:rFonts w:ascii="Arial" w:eastAsia="Calibri" w:hAnsi="Arial" w:cs="Arial"/>
          <w:b/>
          <w:sz w:val="32"/>
          <w:szCs w:val="32"/>
          <w:lang w:val="es-PY"/>
        </w:rPr>
        <w:t xml:space="preserve">SENY </w:t>
      </w:r>
      <w:r w:rsidR="00A0674A" w:rsidRPr="00A0674A">
        <w:rPr>
          <w:rFonts w:ascii="Arial" w:eastAsia="Calibri" w:hAnsi="Arial" w:cs="Arial"/>
          <w:b/>
          <w:sz w:val="32"/>
          <w:szCs w:val="32"/>
          <w:lang w:val="es-PY"/>
        </w:rPr>
        <w:t xml:space="preserve">MARÍA </w:t>
      </w:r>
      <w:r w:rsidRPr="00A0674A">
        <w:rPr>
          <w:rFonts w:ascii="Arial" w:eastAsia="Calibri" w:hAnsi="Arial" w:cs="Arial"/>
          <w:b/>
          <w:sz w:val="32"/>
          <w:szCs w:val="32"/>
          <w:lang w:val="es-PY"/>
        </w:rPr>
        <w:t>HERNÁ</w:t>
      </w:r>
      <w:r w:rsidR="00BB68AE" w:rsidRPr="00A0674A">
        <w:rPr>
          <w:rFonts w:ascii="Arial" w:eastAsia="Calibri" w:hAnsi="Arial" w:cs="Arial"/>
          <w:b/>
          <w:sz w:val="32"/>
          <w:szCs w:val="32"/>
          <w:lang w:val="es-PY"/>
        </w:rPr>
        <w:t>N</w:t>
      </w:r>
      <w:r w:rsidRPr="00A0674A">
        <w:rPr>
          <w:rFonts w:ascii="Arial" w:eastAsia="Calibri" w:hAnsi="Arial" w:cs="Arial"/>
          <w:b/>
          <w:sz w:val="32"/>
          <w:szCs w:val="32"/>
          <w:lang w:val="es-PY"/>
        </w:rPr>
        <w:t xml:space="preserve">DEZ </w:t>
      </w:r>
      <w:r w:rsidR="00BB68AE" w:rsidRPr="00A0674A">
        <w:rPr>
          <w:rFonts w:ascii="Arial" w:eastAsia="Calibri" w:hAnsi="Arial" w:cs="Arial"/>
          <w:b/>
          <w:sz w:val="32"/>
          <w:szCs w:val="32"/>
          <w:lang w:val="es-PY"/>
        </w:rPr>
        <w:t>LEDEZMA</w:t>
      </w:r>
    </w:p>
    <w:p w:rsidR="00995B31" w:rsidRDefault="00995B31" w:rsidP="00995B3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PY"/>
        </w:rPr>
      </w:pPr>
    </w:p>
    <w:p w:rsidR="000C24C0" w:rsidRPr="00A0674A" w:rsidRDefault="00995B31" w:rsidP="00995B31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es-PY"/>
        </w:rPr>
      </w:pPr>
      <w:r w:rsidRPr="00A0674A">
        <w:rPr>
          <w:rFonts w:ascii="Arial" w:eastAsia="Calibri" w:hAnsi="Arial" w:cs="Arial"/>
          <w:b/>
          <w:sz w:val="36"/>
          <w:szCs w:val="36"/>
          <w:lang w:val="es-PY"/>
        </w:rPr>
        <w:t>UNESCO: HISTORIA Y PATRIMONIO CULTURAL</w:t>
      </w:r>
    </w:p>
    <w:p w:rsidR="00995B31" w:rsidRDefault="00995B31" w:rsidP="00995B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Y"/>
        </w:rPr>
      </w:pPr>
    </w:p>
    <w:p w:rsidR="006058BA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El 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estudio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de las ciudades latinoamericanas que han sido declaradas Patrimonio Cultural Mundial por  la Organización de las Naciones Unidas para la Educación, la Ciencia y la Cultura (UNESCO), de conformidad con la “Convención sobre la Protección del Patrimonio Mundial, Cultural y Natural” aprobada en 1972 y con los criterios internacionales establecidos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>,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nos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permiten 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incursionar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por diversas etapas históricas de la civilización latinoamericana. </w:t>
      </w:r>
    </w:p>
    <w:p w:rsidR="006058BA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>Al desarrollar las características fundamentales que identifican a esas ciudades se pueden establecer tres períodos históricos</w:t>
      </w:r>
      <w:r w:rsidR="00047491" w:rsidRPr="00A0674A">
        <w:rPr>
          <w:rFonts w:ascii="Arial" w:eastAsia="Calibri" w:hAnsi="Arial" w:cs="Arial"/>
          <w:sz w:val="24"/>
          <w:szCs w:val="24"/>
          <w:lang w:val="es-PY"/>
        </w:rPr>
        <w:t>: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 xml:space="preserve">el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prehispánico, el colonial y el moderno</w:t>
      </w:r>
      <w:r w:rsidR="000C24C0" w:rsidRPr="00A0674A">
        <w:rPr>
          <w:rFonts w:ascii="Arial" w:eastAsia="Calibri" w:hAnsi="Arial" w:cs="Arial"/>
          <w:sz w:val="24"/>
          <w:szCs w:val="24"/>
          <w:lang w:val="es-PY"/>
        </w:rPr>
        <w:t>. Así mismo</w:t>
      </w:r>
      <w:r w:rsidR="00047491" w:rsidRPr="00A0674A">
        <w:rPr>
          <w:rFonts w:ascii="Arial" w:eastAsia="Calibri" w:hAnsi="Arial" w:cs="Arial"/>
          <w:sz w:val="24"/>
          <w:szCs w:val="24"/>
          <w:lang w:val="es-PY"/>
        </w:rPr>
        <w:t>,</w:t>
      </w:r>
      <w:r w:rsidR="000C24C0"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="00047491" w:rsidRPr="00A0674A">
        <w:rPr>
          <w:rFonts w:ascii="Arial" w:eastAsia="Calibri" w:hAnsi="Arial" w:cs="Arial"/>
          <w:sz w:val="24"/>
          <w:szCs w:val="24"/>
          <w:lang w:val="es-PY"/>
        </w:rPr>
        <w:t xml:space="preserve">a través de  nuestro  patrimonio cultural urbano </w:t>
      </w:r>
      <w:r w:rsidR="000C24C0" w:rsidRPr="00A0674A">
        <w:rPr>
          <w:rFonts w:ascii="Arial" w:eastAsia="Calibri" w:hAnsi="Arial" w:cs="Arial"/>
          <w:sz w:val="24"/>
          <w:szCs w:val="24"/>
          <w:lang w:val="es-PY"/>
        </w:rPr>
        <w:t xml:space="preserve">se puede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mostrar l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a evolución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de los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conocimientos de carácter arquitectónico que se han 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ido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alcanzado</w:t>
      </w:r>
      <w:r w:rsidR="000C24C0" w:rsidRPr="00A0674A">
        <w:rPr>
          <w:rFonts w:ascii="Arial" w:eastAsia="Calibri" w:hAnsi="Arial" w:cs="Arial"/>
          <w:sz w:val="24"/>
          <w:szCs w:val="24"/>
          <w:lang w:val="es-PY"/>
        </w:rPr>
        <w:t>.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</w:p>
    <w:p w:rsidR="006058BA" w:rsidRPr="00A0674A" w:rsidRDefault="000C24C0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>Entre l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 xml:space="preserve">as ciudades latinoamericanas declaradas Patrimonio Cultural Mundial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e</w:t>
      </w:r>
      <w:r w:rsidR="00995B31" w:rsidRPr="00A0674A">
        <w:rPr>
          <w:rFonts w:ascii="Arial" w:eastAsia="Calibri" w:hAnsi="Arial" w:cs="Arial"/>
          <w:sz w:val="24"/>
          <w:szCs w:val="24"/>
          <w:lang w:val="es-PY"/>
        </w:rPr>
        <w:t>n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correspo</w:t>
      </w:r>
      <w:r w:rsidR="00995B31" w:rsidRPr="00A0674A">
        <w:rPr>
          <w:rFonts w:ascii="Arial" w:eastAsia="Calibri" w:hAnsi="Arial" w:cs="Arial"/>
          <w:sz w:val="24"/>
          <w:szCs w:val="24"/>
          <w:lang w:val="es-PY"/>
        </w:rPr>
        <w:t>n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de</w:t>
      </w:r>
      <w:r w:rsidR="00995B31" w:rsidRPr="00A0674A">
        <w:rPr>
          <w:rFonts w:ascii="Arial" w:eastAsia="Calibri" w:hAnsi="Arial" w:cs="Arial"/>
          <w:sz w:val="24"/>
          <w:szCs w:val="24"/>
          <w:lang w:val="es-PY"/>
        </w:rPr>
        <w:t>n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cia con esos períodos históricos se encuentran: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las ciudades prehispánicas de Teotihuacán, de Palenque, Chichen–Itzá y El Tajín en México; la Ciudad de Cuzco y la Ciudad Sagrada de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Caral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-Supe en Perú;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>Potosí y la Ciudad histórica de Sucre en Bolivia; Quito en Ecuador, Antigua en Guatemala; la ciudad colonial de Santo Domingo en República Dominicana; la ciudad de Coro en Venezuela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y Brasilia.</w:t>
      </w:r>
    </w:p>
    <w:p w:rsidR="006058BA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Las ciudades forman parte del patrimonio cultural  y sus valores universales excepcionales son evaluados por la UNESCO desde las  perspectivas históricas, estéticas, etnológicas y antropológicas. Es importante señalar que el proceso para que estas ciudades sean declaradas patrimonio cultural, es dinámico interactivo 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 xml:space="preserve">y cuenta con la participación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de organizaciones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 nacionales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 xml:space="preserve"> e internacionales</w:t>
      </w:r>
      <w:r w:rsidR="00D33012" w:rsidRPr="00A0674A">
        <w:rPr>
          <w:rFonts w:ascii="Arial" w:eastAsia="Calibri" w:hAnsi="Arial" w:cs="Arial"/>
          <w:sz w:val="24"/>
          <w:szCs w:val="24"/>
          <w:lang w:val="es-PY"/>
        </w:rPr>
        <w:t xml:space="preserve"> no gubernamentales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de distinta naturaleza cuyas relaciones tienen un carácter abierto e influyen en las decisiones que se adoptan.</w:t>
      </w:r>
    </w:p>
    <w:p w:rsidR="005944E6" w:rsidRPr="00A0674A" w:rsidRDefault="00D33012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lastRenderedPageBreak/>
        <w:t xml:space="preserve">Jurídicamente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 xml:space="preserve">los Estados Partes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intervienen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>en el rescate y la protección del patrimonio cultural en su territorio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, mediante la adopción de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 xml:space="preserve">medidas jurídicas, científicas, técnicas, administrativas y financieras </w:t>
      </w:r>
      <w:r w:rsidR="005944E6" w:rsidRPr="00A0674A">
        <w:rPr>
          <w:rFonts w:ascii="Arial" w:eastAsia="Calibri" w:hAnsi="Arial" w:cs="Arial"/>
          <w:sz w:val="24"/>
          <w:szCs w:val="24"/>
          <w:lang w:val="es-PY"/>
        </w:rPr>
        <w:t xml:space="preserve">que permiten tanto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>identificar, proteger</w:t>
      </w:r>
      <w:r w:rsidR="005944E6" w:rsidRPr="00A0674A">
        <w:rPr>
          <w:rFonts w:ascii="Arial" w:eastAsia="Calibri" w:hAnsi="Arial" w:cs="Arial"/>
          <w:sz w:val="24"/>
          <w:szCs w:val="24"/>
          <w:lang w:val="es-PY"/>
        </w:rPr>
        <w:t xml:space="preserve"> como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 xml:space="preserve">conservar, revalorizar y rehabilitar </w:t>
      </w:r>
      <w:r w:rsidR="005944E6" w:rsidRPr="00A0674A">
        <w:rPr>
          <w:rFonts w:ascii="Arial" w:eastAsia="Calibri" w:hAnsi="Arial" w:cs="Arial"/>
          <w:sz w:val="24"/>
          <w:szCs w:val="24"/>
          <w:lang w:val="es-PY"/>
        </w:rPr>
        <w:t>el patrimonio cultural.</w:t>
      </w:r>
    </w:p>
    <w:p w:rsidR="004714A2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>El concepto de patrimonio histórico alude a un pasado común que permanece vigente y visible a través de las construcciones y edificaciones que se conservan</w:t>
      </w:r>
      <w:r w:rsidR="005944E6" w:rsidRPr="00A0674A">
        <w:rPr>
          <w:rFonts w:ascii="Arial" w:eastAsia="Calibri" w:hAnsi="Arial" w:cs="Arial"/>
          <w:sz w:val="24"/>
          <w:szCs w:val="24"/>
          <w:lang w:val="es-PY"/>
        </w:rPr>
        <w:t xml:space="preserve"> y de esta forma se pueden observar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los rasgos arquitectónicos materiales </w:t>
      </w:r>
      <w:r w:rsidR="005944E6" w:rsidRPr="00A0674A">
        <w:rPr>
          <w:rFonts w:ascii="Arial" w:eastAsia="Calibri" w:hAnsi="Arial" w:cs="Arial"/>
          <w:sz w:val="24"/>
          <w:szCs w:val="24"/>
          <w:lang w:val="es-PY"/>
        </w:rPr>
        <w:t xml:space="preserve">que la historia nos ha dejado como herencia al mostrarnos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otras vidas y otros tiempos, los cuales están asociados con los personajes que </w:t>
      </w:r>
      <w:r w:rsidR="005944E6" w:rsidRPr="00A0674A">
        <w:rPr>
          <w:rFonts w:ascii="Arial" w:eastAsia="Calibri" w:hAnsi="Arial" w:cs="Arial"/>
          <w:sz w:val="24"/>
          <w:szCs w:val="24"/>
          <w:lang w:val="es-PY"/>
        </w:rPr>
        <w:t>se desenvolvieron en esas latitudes.</w:t>
      </w:r>
    </w:p>
    <w:p w:rsidR="006058BA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>¿De qué  manera las ciudades declaradas patrimonio cultural mundial son capaces de ilustrar una etapa significativa o etapas significativas de la historia de la humanidad?</w:t>
      </w:r>
    </w:p>
    <w:p w:rsidR="006058BA" w:rsidRPr="00A0674A" w:rsidRDefault="005944E6" w:rsidP="000E4B74">
      <w:pPr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>D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 xml:space="preserve">e acuerdo con la información 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 xml:space="preserve">procedente de 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>la UNESCO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y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 xml:space="preserve"> de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los investigadores </w:t>
      </w:r>
      <w:r w:rsidR="00BB68AE" w:rsidRPr="00A0674A">
        <w:rPr>
          <w:rFonts w:ascii="Arial" w:eastAsia="Calibri" w:hAnsi="Arial" w:cs="Arial"/>
          <w:sz w:val="24"/>
          <w:szCs w:val="24"/>
          <w:lang w:val="es-PY"/>
        </w:rPr>
        <w:t xml:space="preserve">involucrados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en este programa,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>el conocimiento de la arquitectura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de esas ciudades se agrupa y clasifica 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 xml:space="preserve">a través del uso de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técnicas y métodos 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 xml:space="preserve">correspondientes a cada una de las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="006058BA" w:rsidRPr="00A0674A">
        <w:rPr>
          <w:rFonts w:ascii="Arial" w:eastAsia="Calibri" w:hAnsi="Arial" w:cs="Arial"/>
          <w:sz w:val="24"/>
          <w:szCs w:val="24"/>
          <w:lang w:val="es-PY"/>
        </w:rPr>
        <w:t>etapas históricas sucesivas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>, como una manera muy práctica de determinar los niveles de los conocimientos alcanzados por los constructores de l</w:t>
      </w:r>
      <w:r w:rsidR="001031B4" w:rsidRPr="00A0674A">
        <w:rPr>
          <w:rFonts w:ascii="Arial" w:eastAsia="Calibri" w:hAnsi="Arial" w:cs="Arial"/>
          <w:sz w:val="24"/>
          <w:szCs w:val="24"/>
          <w:lang w:val="es-PY"/>
        </w:rPr>
        <w:t>a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 xml:space="preserve">s </w:t>
      </w:r>
      <w:r w:rsidR="001031B4" w:rsidRPr="00A0674A">
        <w:rPr>
          <w:rFonts w:ascii="Arial" w:eastAsia="Calibri" w:hAnsi="Arial" w:cs="Arial"/>
          <w:sz w:val="24"/>
          <w:szCs w:val="24"/>
          <w:lang w:val="es-PY"/>
        </w:rPr>
        <w:t>diversas obras.</w:t>
      </w:r>
      <w:bookmarkStart w:id="0" w:name="_GoBack"/>
      <w:bookmarkEnd w:id="0"/>
    </w:p>
    <w:p w:rsidR="006058BA" w:rsidRPr="00A0674A" w:rsidRDefault="00A0674A" w:rsidP="00A0674A">
      <w:pPr>
        <w:jc w:val="center"/>
        <w:rPr>
          <w:rFonts w:ascii="Arial" w:eastAsia="Calibri" w:hAnsi="Arial" w:cs="Arial"/>
          <w:b/>
          <w:sz w:val="36"/>
          <w:szCs w:val="36"/>
          <w:lang w:val="es-PY"/>
        </w:rPr>
      </w:pPr>
      <w:r w:rsidRPr="00A0674A">
        <w:rPr>
          <w:rFonts w:ascii="Arial" w:eastAsia="Calibri" w:hAnsi="Arial" w:cs="Arial"/>
          <w:b/>
          <w:sz w:val="36"/>
          <w:szCs w:val="36"/>
          <w:lang w:val="es-PY"/>
        </w:rPr>
        <w:t>BRASILIA, LA CIUDAD MODERNA</w:t>
      </w:r>
    </w:p>
    <w:p w:rsidR="006058BA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Los grandes ejecutores de Brasilia fueron el Presidente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Juscelino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Kubistchek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, </w:t>
      </w:r>
      <w:r w:rsidR="001031B4" w:rsidRPr="00A0674A">
        <w:rPr>
          <w:rFonts w:ascii="Arial" w:eastAsia="Calibri" w:hAnsi="Arial" w:cs="Arial"/>
          <w:sz w:val="24"/>
          <w:szCs w:val="24"/>
          <w:lang w:val="es-PY"/>
        </w:rPr>
        <w:t xml:space="preserve">quien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durante su primer año de mandato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>intervino para que se aprobara la Ley N° 2874</w:t>
      </w:r>
      <w:r w:rsidR="001031B4" w:rsidRPr="00A0674A">
        <w:rPr>
          <w:rFonts w:ascii="Arial" w:eastAsia="Calibri" w:hAnsi="Arial" w:cs="Arial"/>
          <w:sz w:val="24"/>
          <w:szCs w:val="24"/>
          <w:lang w:val="es-PY"/>
        </w:rPr>
        <w:t>,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que permitió la construcción de la mencionada capital brasilera; el Urbanista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Lúcio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Costa, quien ganó el concurso público, que se abrió con este propósito, siguiendo lo que él mismo llamó un </w:t>
      </w:r>
      <w:proofErr w:type="spellStart"/>
      <w:r w:rsidRPr="00A0674A">
        <w:rPr>
          <w:rFonts w:ascii="Arial" w:eastAsia="Calibri" w:hAnsi="Arial" w:cs="Arial"/>
          <w:i/>
          <w:sz w:val="24"/>
          <w:szCs w:val="24"/>
          <w:lang w:val="es-PY"/>
        </w:rPr>
        <w:t>insight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en el diseño inicial y el Arquitecto Oscar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Niemayer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, seleccionado por el carácter innovador y futurista que daba a sus proyectos y por sus diseños modernos inspirados en las ideas de Charles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Edouard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Jeannerette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, conocido como Le Corbusier. </w:t>
      </w:r>
    </w:p>
    <w:p w:rsidR="006058BA" w:rsidRPr="00A0674A" w:rsidRDefault="006058BA" w:rsidP="00A0674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s-PY"/>
        </w:rPr>
      </w:pPr>
      <w:r w:rsidRPr="00A0674A">
        <w:rPr>
          <w:rFonts w:ascii="Arial" w:eastAsia="Calibri" w:hAnsi="Arial" w:cs="Arial"/>
          <w:sz w:val="24"/>
          <w:szCs w:val="24"/>
          <w:lang w:val="es-PY"/>
        </w:rPr>
        <w:t>Las fuentes arquitectónic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>as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 que sirvieron de orientación inicial para la construcción fueron los Congresos Internacionales de Arquitectura Modernista, en los cuales participa</w:t>
      </w:r>
      <w:r w:rsidR="0047609F" w:rsidRPr="00A0674A">
        <w:rPr>
          <w:rFonts w:ascii="Arial" w:eastAsia="Calibri" w:hAnsi="Arial" w:cs="Arial"/>
          <w:sz w:val="24"/>
          <w:szCs w:val="24"/>
          <w:lang w:val="es-PY"/>
        </w:rPr>
        <w:t xml:space="preserve">ron </w:t>
      </w:r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tanto Costa como </w:t>
      </w:r>
      <w:proofErr w:type="spellStart"/>
      <w:r w:rsidRPr="00A0674A">
        <w:rPr>
          <w:rFonts w:ascii="Arial" w:eastAsia="Calibri" w:hAnsi="Arial" w:cs="Arial"/>
          <w:sz w:val="24"/>
          <w:szCs w:val="24"/>
          <w:lang w:val="es-PY"/>
        </w:rPr>
        <w:t>Niemayer</w:t>
      </w:r>
      <w:proofErr w:type="spellEnd"/>
      <w:r w:rsidRPr="00A0674A">
        <w:rPr>
          <w:rFonts w:ascii="Arial" w:eastAsia="Calibri" w:hAnsi="Arial" w:cs="Arial"/>
          <w:sz w:val="24"/>
          <w:szCs w:val="24"/>
          <w:lang w:val="es-PY"/>
        </w:rPr>
        <w:t xml:space="preserve">. El primero de estos congresos se realizó en el año de 1928 y progresivamente fueron definiendo la arquitectura y el urbanismo del siglo XX. La Carta de Atenas (1933) contiene las directrices arquitectónicas establecidas por el urbanista modernista Le Corbusier y consistían en  largas rectas, valorización del espacio abierto con la finalidad de obtener adecuada iluminación e idónea ventilación y el cumplimiento de las funciones urbanas básicas como habitar, trabajar, recrear y circular. </w:t>
      </w:r>
    </w:p>
    <w:p w:rsidR="006058BA" w:rsidRPr="006058BA" w:rsidRDefault="006058BA" w:rsidP="006058BA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s-PY"/>
        </w:rPr>
      </w:pPr>
    </w:p>
    <w:sectPr w:rsidR="006058BA" w:rsidRPr="00605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18" w:rsidRDefault="007E2418" w:rsidP="006058BA">
      <w:pPr>
        <w:spacing w:after="0" w:line="240" w:lineRule="auto"/>
      </w:pPr>
      <w:r>
        <w:separator/>
      </w:r>
    </w:p>
  </w:endnote>
  <w:endnote w:type="continuationSeparator" w:id="0">
    <w:p w:rsidR="007E2418" w:rsidRDefault="007E2418" w:rsidP="0060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18" w:rsidRDefault="007E2418" w:rsidP="006058BA">
      <w:pPr>
        <w:spacing w:after="0" w:line="240" w:lineRule="auto"/>
      </w:pPr>
      <w:r>
        <w:separator/>
      </w:r>
    </w:p>
  </w:footnote>
  <w:footnote w:type="continuationSeparator" w:id="0">
    <w:p w:rsidR="007E2418" w:rsidRDefault="007E2418" w:rsidP="0060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601"/>
    <w:multiLevelType w:val="hybridMultilevel"/>
    <w:tmpl w:val="EAC0900C"/>
    <w:lvl w:ilvl="0" w:tplc="07D6E5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657BF"/>
    <w:multiLevelType w:val="hybridMultilevel"/>
    <w:tmpl w:val="EDC66064"/>
    <w:lvl w:ilvl="0" w:tplc="07D6E5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C0126"/>
    <w:multiLevelType w:val="hybridMultilevel"/>
    <w:tmpl w:val="907210D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BA"/>
    <w:rsid w:val="00047491"/>
    <w:rsid w:val="000C24C0"/>
    <w:rsid w:val="000E4B74"/>
    <w:rsid w:val="001031B4"/>
    <w:rsid w:val="00367FCB"/>
    <w:rsid w:val="004714A2"/>
    <w:rsid w:val="0047609F"/>
    <w:rsid w:val="004F0E98"/>
    <w:rsid w:val="005944E6"/>
    <w:rsid w:val="006058BA"/>
    <w:rsid w:val="006772FE"/>
    <w:rsid w:val="007E2418"/>
    <w:rsid w:val="008F3381"/>
    <w:rsid w:val="00931193"/>
    <w:rsid w:val="00995B31"/>
    <w:rsid w:val="009A29E9"/>
    <w:rsid w:val="00A0674A"/>
    <w:rsid w:val="00BB68AE"/>
    <w:rsid w:val="00D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058BA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8BA"/>
    <w:rPr>
      <w:rFonts w:ascii="Calibri" w:eastAsia="Calibri" w:hAnsi="Calibri" w:cs="Times New Roman"/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6058BA"/>
    <w:rPr>
      <w:vertAlign w:val="superscript"/>
    </w:rPr>
  </w:style>
  <w:style w:type="table" w:styleId="Tablaconcuadrcula">
    <w:name w:val="Table Grid"/>
    <w:basedOn w:val="Tablanormal"/>
    <w:uiPriority w:val="59"/>
    <w:rsid w:val="006058BA"/>
    <w:pPr>
      <w:spacing w:after="0" w:line="240" w:lineRule="auto"/>
    </w:pPr>
    <w:rPr>
      <w:rFonts w:ascii="Calibri" w:eastAsia="Calibri" w:hAnsi="Calibri" w:cs="Times New Roman"/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058BA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8BA"/>
    <w:rPr>
      <w:rFonts w:ascii="Calibri" w:eastAsia="Calibri" w:hAnsi="Calibri" w:cs="Times New Roman"/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6058BA"/>
    <w:rPr>
      <w:vertAlign w:val="superscript"/>
    </w:rPr>
  </w:style>
  <w:style w:type="table" w:styleId="Tablaconcuadrcula">
    <w:name w:val="Table Grid"/>
    <w:basedOn w:val="Tablanormal"/>
    <w:uiPriority w:val="59"/>
    <w:rsid w:val="006058BA"/>
    <w:pPr>
      <w:spacing w:after="0" w:line="240" w:lineRule="auto"/>
    </w:pPr>
    <w:rPr>
      <w:rFonts w:ascii="Calibri" w:eastAsia="Calibri" w:hAnsi="Calibri" w:cs="Times New Roman"/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2021-06-09T08:33:00Z</dcterms:created>
  <dcterms:modified xsi:type="dcterms:W3CDTF">2021-06-09T08:33:00Z</dcterms:modified>
</cp:coreProperties>
</file>